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8C482" w14:textId="77777777" w:rsidR="001C1AF5" w:rsidRDefault="001C1AF5" w:rsidP="001C1AF5">
      <w:pPr>
        <w:shd w:val="clear" w:color="auto" w:fill="FFFFFF"/>
        <w:ind w:right="-1"/>
        <w:rPr>
          <w:rFonts w:ascii="Verdana" w:hAnsi="Verdana"/>
          <w:b/>
          <w:color w:val="17365D" w:themeColor="text2" w:themeShade="BF"/>
          <w:sz w:val="40"/>
        </w:rPr>
      </w:pPr>
      <w:bookmarkStart w:id="0" w:name="_GoBack"/>
      <w:bookmarkEnd w:id="0"/>
    </w:p>
    <w:p w14:paraId="276D9D48" w14:textId="4D321BCD" w:rsidR="001C1AF5" w:rsidRPr="003A553A" w:rsidRDefault="001C1AF5" w:rsidP="001C1AF5">
      <w:pPr>
        <w:shd w:val="clear" w:color="auto" w:fill="FFFFFF"/>
        <w:ind w:right="-1"/>
        <w:rPr>
          <w:rFonts w:ascii="Verdana" w:hAnsi="Verdana"/>
          <w:b/>
          <w:color w:val="17365D" w:themeColor="text2" w:themeShade="BF"/>
          <w:sz w:val="8"/>
        </w:rPr>
      </w:pPr>
      <w:r w:rsidRPr="003A553A">
        <w:rPr>
          <w:rFonts w:ascii="Verdana" w:hAnsi="Verdana"/>
          <w:b/>
          <w:color w:val="17365D" w:themeColor="text2" w:themeShade="BF"/>
          <w:sz w:val="40"/>
        </w:rPr>
        <w:t xml:space="preserve">CIRCOLARE N. </w:t>
      </w:r>
      <w:r>
        <w:rPr>
          <w:rFonts w:ascii="Verdana" w:hAnsi="Verdana"/>
          <w:b/>
          <w:color w:val="17365D" w:themeColor="text2" w:themeShade="BF"/>
          <w:sz w:val="40"/>
        </w:rPr>
        <w:t>23</w:t>
      </w:r>
      <w:r w:rsidRPr="003A553A">
        <w:rPr>
          <w:rFonts w:ascii="Verdana" w:hAnsi="Verdana"/>
          <w:b/>
          <w:color w:val="17365D" w:themeColor="text2" w:themeShade="BF"/>
          <w:sz w:val="40"/>
        </w:rPr>
        <w:t>/2016</w:t>
      </w:r>
    </w:p>
    <w:p w14:paraId="33379A57" w14:textId="77777777" w:rsidR="001C1AF5" w:rsidRPr="00BE46E5" w:rsidRDefault="001C1AF5" w:rsidP="001C1AF5">
      <w:pPr>
        <w:shd w:val="clear" w:color="auto" w:fill="003366"/>
        <w:jc w:val="right"/>
        <w:rPr>
          <w:rFonts w:ascii="Verdana" w:hAnsi="Verdana"/>
          <w:b/>
          <w:color w:val="FFFFFF"/>
          <w:sz w:val="28"/>
        </w:rPr>
      </w:pPr>
      <w:r w:rsidRPr="00BE46E5">
        <w:rPr>
          <w:rFonts w:ascii="Verdana" w:hAnsi="Verdana"/>
        </w:rPr>
        <w:tab/>
      </w:r>
      <w:r w:rsidRPr="003A553A">
        <w:rPr>
          <w:rFonts w:ascii="Verdana" w:hAnsi="Verdana"/>
          <w:b/>
          <w:color w:val="FFFFFF"/>
          <w:sz w:val="28"/>
          <w:shd w:val="clear" w:color="auto" w:fill="313D66"/>
        </w:rPr>
        <w:t>[</w:t>
      </w:r>
      <w:r>
        <w:rPr>
          <w:rFonts w:ascii="Verdana" w:hAnsi="Verdana"/>
          <w:b/>
          <w:color w:val="FFFFFF"/>
          <w:sz w:val="28"/>
          <w:shd w:val="clear" w:color="auto" w:fill="003366"/>
        </w:rPr>
        <w:t>Ottobre</w:t>
      </w:r>
      <w:r w:rsidRPr="003A553A">
        <w:rPr>
          <w:rFonts w:ascii="Verdana" w:hAnsi="Verdana"/>
          <w:b/>
          <w:color w:val="FFFFFF"/>
          <w:sz w:val="28"/>
          <w:shd w:val="clear" w:color="auto" w:fill="003366"/>
        </w:rPr>
        <w:t xml:space="preserve"> 2016]</w:t>
      </w:r>
    </w:p>
    <w:p w14:paraId="423F6B2F" w14:textId="5206F132" w:rsidR="000D5568" w:rsidRPr="00786142" w:rsidRDefault="000D5568" w:rsidP="000D5568">
      <w:pPr>
        <w:spacing w:line="360" w:lineRule="auto"/>
        <w:rPr>
          <w:rFonts w:ascii="Verdana" w:hAnsi="Verdana" w:cs="Verdana"/>
        </w:rPr>
      </w:pPr>
    </w:p>
    <w:p w14:paraId="643F3042"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CONTROLLI A DISTANZA: E-MAIL, UTILIZZO INTERNET, BADGE E APP PER LA RILEVAZIONE DELLE PRESENZE</w:t>
      </w:r>
    </w:p>
    <w:p w14:paraId="672B3575"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b/>
          <w:bCs/>
          <w:color w:val="FFFFFF" w:themeColor="background1"/>
        </w:rPr>
        <w:t>(</w:t>
      </w:r>
      <w:r w:rsidRPr="000D5568">
        <w:rPr>
          <w:rFonts w:ascii="Verdana" w:hAnsi="Verdana"/>
          <w:b/>
          <w:bCs/>
          <w:color w:val="FFFFFF" w:themeColor="background1"/>
          <w14:shadow w14:blurRad="50800" w14:dist="38100" w14:dir="2700000" w14:sx="100000" w14:sy="100000" w14:kx="0" w14:ky="0" w14:algn="tl">
            <w14:srgbClr w14:val="000000">
              <w14:alpha w14:val="60000"/>
            </w14:srgbClr>
          </w14:shadow>
        </w:rPr>
        <w:t xml:space="preserve">Garante Privacy, Newsletter n. 419 del 15.09.2016 - </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Corte di Cassazione, sentenza n.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9904</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del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13.05.2016</w:t>
      </w:r>
      <w:r w:rsidRPr="000D5568">
        <w:rPr>
          <w:rFonts w:ascii="Verdana" w:hAnsi="Verdana"/>
          <w:b/>
          <w:bCs/>
          <w:color w:val="FFFFFF" w:themeColor="background1"/>
          <w14:shadow w14:blurRad="50800" w14:dist="38100" w14:dir="2700000" w14:sx="100000" w14:sy="100000" w14:kx="0" w14:ky="0" w14:algn="tl">
            <w14:srgbClr w14:val="000000">
              <w14:alpha w14:val="60000"/>
            </w14:srgbClr>
          </w14:shadow>
        </w:rPr>
        <w:t>)</w:t>
      </w:r>
    </w:p>
    <w:tbl>
      <w:tblPr>
        <w:tblW w:w="9889" w:type="dxa"/>
        <w:tblBorders>
          <w:top w:val="nil"/>
          <w:left w:val="nil"/>
          <w:right w:val="nil"/>
        </w:tblBorders>
        <w:tblLayout w:type="fixed"/>
        <w:tblLook w:val="0000" w:firstRow="0" w:lastRow="0" w:firstColumn="0" w:lastColumn="0" w:noHBand="0" w:noVBand="0"/>
      </w:tblPr>
      <w:tblGrid>
        <w:gridCol w:w="9889"/>
      </w:tblGrid>
      <w:tr w:rsidR="000D5568" w:rsidRPr="008E4DE9" w14:paraId="1210CDCA" w14:textId="77777777" w:rsidTr="00A12666">
        <w:tc>
          <w:tcPr>
            <w:tcW w:w="9889" w:type="dxa"/>
          </w:tcPr>
          <w:p w14:paraId="7FAEAF67" w14:textId="77777777" w:rsidR="000D5568" w:rsidRPr="008E4DE9" w:rsidRDefault="000D5568" w:rsidP="000D5568">
            <w:pPr>
              <w:widowControl w:val="0"/>
              <w:autoSpaceDE w:val="0"/>
              <w:autoSpaceDN w:val="0"/>
              <w:adjustRightInd w:val="0"/>
              <w:spacing w:line="360" w:lineRule="auto"/>
              <w:jc w:val="both"/>
              <w:rPr>
                <w:rFonts w:ascii="Verdana" w:hAnsi="Verdana" w:cs="Helvetica"/>
                <w:color w:val="1F1F1F"/>
              </w:rPr>
            </w:pPr>
            <w:r w:rsidRPr="008E4DE9">
              <w:rPr>
                <w:rFonts w:ascii="Verdana" w:hAnsi="Verdana"/>
                <w:noProof/>
              </w:rPr>
              <w:drawing>
                <wp:anchor distT="0" distB="0" distL="114300" distR="114300" simplePos="0" relativeHeight="251661312" behindDoc="0" locked="0" layoutInCell="1" allowOverlap="1" wp14:anchorId="31A92F9B" wp14:editId="42941371">
                  <wp:simplePos x="0" y="0"/>
                  <wp:positionH relativeFrom="column">
                    <wp:posOffset>0</wp:posOffset>
                  </wp:positionH>
                  <wp:positionV relativeFrom="paragraph">
                    <wp:posOffset>62230</wp:posOffset>
                  </wp:positionV>
                  <wp:extent cx="603250" cy="603250"/>
                  <wp:effectExtent l="0" t="0" r="6350" b="6350"/>
                  <wp:wrapSquare wrapText="bothSides"/>
                  <wp:docPr id="45" name="Immagine 45" descr="view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iewm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DE9">
              <w:rPr>
                <w:rFonts w:ascii="Verdana" w:hAnsi="Verdana"/>
              </w:rPr>
              <w:t xml:space="preserve">Il Garante per la Privacy è recentemente intervenuto ribadendo che </w:t>
            </w:r>
            <w:r w:rsidRPr="008E4DE9">
              <w:rPr>
                <w:rFonts w:ascii="Verdana" w:hAnsi="Verdana" w:cs="Helvetica"/>
                <w:color w:val="1F1F1F"/>
              </w:rPr>
              <w:t xml:space="preserve">verifiche indiscriminate sulla posta elettronica e sulla navigazione web del personale sono in contrasto con il Codice della privacy e con lo Statuto dei lavoratori. </w:t>
            </w:r>
          </w:p>
          <w:p w14:paraId="6B8C03D1" w14:textId="77777777" w:rsidR="000D5568" w:rsidRDefault="000D5568" w:rsidP="000D5568">
            <w:pPr>
              <w:widowControl w:val="0"/>
              <w:autoSpaceDE w:val="0"/>
              <w:autoSpaceDN w:val="0"/>
              <w:adjustRightInd w:val="0"/>
              <w:spacing w:line="360" w:lineRule="auto"/>
              <w:jc w:val="both"/>
              <w:rPr>
                <w:rFonts w:ascii="Verdana" w:hAnsi="Verdana" w:cs="Helvetica"/>
                <w:color w:val="1F1F1F"/>
              </w:rPr>
            </w:pPr>
            <w:r w:rsidRPr="008E4DE9">
              <w:rPr>
                <w:rFonts w:ascii="Verdana" w:hAnsi="Verdana" w:cs="Helvetica"/>
                <w:color w:val="1F1F1F"/>
              </w:rPr>
              <w:t>Nel provvedimento</w:t>
            </w:r>
            <w:r>
              <w:rPr>
                <w:rFonts w:ascii="Verdana" w:hAnsi="Verdana" w:cs="Helvetica"/>
                <w:color w:val="1F1F1F"/>
              </w:rPr>
              <w:t>,</w:t>
            </w:r>
            <w:r w:rsidRPr="008E4DE9">
              <w:rPr>
                <w:rFonts w:ascii="Verdana" w:hAnsi="Verdana" w:cs="Helvetica"/>
                <w:color w:val="1F1F1F"/>
              </w:rPr>
              <w:t xml:space="preserve"> il Garante ha rimarcato che </w:t>
            </w:r>
            <w:r>
              <w:rPr>
                <w:rFonts w:ascii="Verdana" w:hAnsi="Verdana" w:cs="Helvetica"/>
                <w:color w:val="1F1F1F"/>
              </w:rPr>
              <w:t xml:space="preserve">si devono </w:t>
            </w:r>
            <w:r w:rsidRPr="008E4DE9">
              <w:rPr>
                <w:rFonts w:ascii="Verdana" w:hAnsi="Verdana" w:cs="Helvetica"/>
                <w:color w:val="1F1F1F"/>
              </w:rPr>
              <w:t>privilegiare misure graduali che rend</w:t>
            </w:r>
            <w:r>
              <w:rPr>
                <w:rFonts w:ascii="Verdana" w:hAnsi="Verdana" w:cs="Helvetica"/>
                <w:color w:val="1F1F1F"/>
              </w:rPr>
              <w:t>an</w:t>
            </w:r>
            <w:r w:rsidRPr="008E4DE9">
              <w:rPr>
                <w:rFonts w:ascii="Verdana" w:hAnsi="Verdana" w:cs="Helvetica"/>
                <w:color w:val="1F1F1F"/>
              </w:rPr>
              <w:t xml:space="preserve">o assolutamente residuali i controlli più invasivi, legittimati solo in caso di individuazione di specifiche anomalie, come la rilevata presenza di virus. </w:t>
            </w:r>
          </w:p>
          <w:p w14:paraId="757B5D70" w14:textId="77777777" w:rsidR="000D5568" w:rsidRDefault="000D5568" w:rsidP="000D5568">
            <w:pPr>
              <w:widowControl w:val="0"/>
              <w:autoSpaceDE w:val="0"/>
              <w:autoSpaceDN w:val="0"/>
              <w:adjustRightInd w:val="0"/>
              <w:spacing w:line="360" w:lineRule="auto"/>
              <w:jc w:val="both"/>
              <w:rPr>
                <w:rFonts w:ascii="Verdana" w:hAnsi="Verdana" w:cs="Helvetica"/>
                <w:color w:val="1F1F1F"/>
              </w:rPr>
            </w:pPr>
            <w:r w:rsidRPr="008E4DE9">
              <w:rPr>
                <w:rFonts w:ascii="Verdana" w:hAnsi="Verdana" w:cs="Helvetica"/>
                <w:color w:val="1F1F1F"/>
              </w:rPr>
              <w:t xml:space="preserve">In ogni caso, si </w:t>
            </w:r>
            <w:r>
              <w:rPr>
                <w:rFonts w:ascii="Verdana" w:hAnsi="Verdana" w:cs="Helvetica"/>
                <w:color w:val="1F1F1F"/>
              </w:rPr>
              <w:t>devono</w:t>
            </w:r>
            <w:r w:rsidRPr="008E4DE9">
              <w:rPr>
                <w:rFonts w:ascii="Verdana" w:hAnsi="Verdana" w:cs="Helvetica"/>
                <w:color w:val="1F1F1F"/>
              </w:rPr>
              <w:t xml:space="preserve"> </w:t>
            </w:r>
            <w:r>
              <w:rPr>
                <w:rFonts w:ascii="Verdana" w:hAnsi="Verdana" w:cs="Helvetica"/>
                <w:color w:val="1F1F1F"/>
              </w:rPr>
              <w:t>inizialmente</w:t>
            </w:r>
            <w:r w:rsidRPr="008E4DE9">
              <w:rPr>
                <w:rFonts w:ascii="Verdana" w:hAnsi="Verdana" w:cs="Helvetica"/>
                <w:color w:val="1F1F1F"/>
              </w:rPr>
              <w:t xml:space="preserve"> adottare misure meno limitati</w:t>
            </w:r>
            <w:r>
              <w:rPr>
                <w:rFonts w:ascii="Verdana" w:hAnsi="Verdana" w:cs="Helvetica"/>
                <w:color w:val="1F1F1F"/>
              </w:rPr>
              <w:t xml:space="preserve">ve per i diritti dei lavoratori e, comunque, deve essere fornito </w:t>
            </w:r>
            <w:r w:rsidRPr="008E4DE9">
              <w:rPr>
                <w:rFonts w:ascii="Verdana" w:hAnsi="Verdana" w:cs="Helvetica"/>
                <w:color w:val="1F1F1F"/>
              </w:rPr>
              <w:t xml:space="preserve">agli utilizzatori </w:t>
            </w:r>
            <w:r>
              <w:rPr>
                <w:rFonts w:ascii="Verdana" w:hAnsi="Verdana" w:cs="Helvetica"/>
                <w:color w:val="1F1F1F"/>
              </w:rPr>
              <w:t>un'idonea informativa privacy,</w:t>
            </w:r>
            <w:r w:rsidRPr="008E4DE9">
              <w:rPr>
                <w:rFonts w:ascii="Verdana" w:hAnsi="Verdana" w:cs="Helvetica"/>
                <w:color w:val="1F1F1F"/>
              </w:rPr>
              <w:t xml:space="preserve"> non potendosi ritenere </w:t>
            </w:r>
            <w:r>
              <w:rPr>
                <w:rFonts w:ascii="Verdana" w:hAnsi="Verdana" w:cs="Helvetica"/>
                <w:color w:val="1F1F1F"/>
              </w:rPr>
              <w:t>sufficiente un</w:t>
            </w:r>
            <w:r w:rsidRPr="008E4DE9">
              <w:rPr>
                <w:rFonts w:ascii="Verdana" w:hAnsi="Verdana" w:cs="Helvetica"/>
                <w:color w:val="1F1F1F"/>
              </w:rPr>
              <w:t xml:space="preserve">a mera comunicazione </w:t>
            </w:r>
            <w:r>
              <w:rPr>
                <w:rFonts w:ascii="Verdana" w:hAnsi="Verdana" w:cs="Helvetica"/>
                <w:color w:val="1F1F1F"/>
              </w:rPr>
              <w:t>del r</w:t>
            </w:r>
            <w:r w:rsidRPr="008E4DE9">
              <w:rPr>
                <w:rFonts w:ascii="Verdana" w:hAnsi="Verdana" w:cs="Helvetica"/>
                <w:color w:val="1F1F1F"/>
              </w:rPr>
              <w:t xml:space="preserve">egolamento </w:t>
            </w:r>
            <w:r>
              <w:rPr>
                <w:rFonts w:ascii="Verdana" w:hAnsi="Verdana" w:cs="Helvetica"/>
                <w:color w:val="1F1F1F"/>
              </w:rPr>
              <w:t xml:space="preserve">aziendale </w:t>
            </w:r>
            <w:r w:rsidRPr="008E4DE9">
              <w:rPr>
                <w:rFonts w:ascii="Verdana" w:hAnsi="Verdana" w:cs="Helvetica"/>
                <w:color w:val="1F1F1F"/>
              </w:rPr>
              <w:t xml:space="preserve">relativo al corretto utilizzo degli strumenti elettronici, violando così il principio di liceità alla base del trattamento dei dati personali.  </w:t>
            </w:r>
          </w:p>
          <w:p w14:paraId="18BC7CEA" w14:textId="77777777" w:rsidR="000D5568" w:rsidRPr="008E4DE9" w:rsidRDefault="000D5568" w:rsidP="000D5568">
            <w:pPr>
              <w:widowControl w:val="0"/>
              <w:autoSpaceDE w:val="0"/>
              <w:autoSpaceDN w:val="0"/>
              <w:adjustRightInd w:val="0"/>
              <w:spacing w:line="360" w:lineRule="auto"/>
              <w:jc w:val="both"/>
              <w:rPr>
                <w:rFonts w:ascii="Verdana" w:hAnsi="Verdana" w:cs="Helvetica"/>
                <w:color w:val="1F1F1F"/>
              </w:rPr>
            </w:pPr>
            <w:r w:rsidRPr="008E4DE9">
              <w:rPr>
                <w:rFonts w:ascii="Verdana" w:hAnsi="Verdana" w:cs="Helvetica"/>
                <w:color w:val="1F1F1F"/>
              </w:rPr>
              <w:t>L'Autorità ha in</w:t>
            </w:r>
            <w:r>
              <w:rPr>
                <w:rFonts w:ascii="Verdana" w:hAnsi="Verdana" w:cs="Helvetica"/>
                <w:color w:val="1F1F1F"/>
              </w:rPr>
              <w:t>f</w:t>
            </w:r>
            <w:r w:rsidRPr="008E4DE9">
              <w:rPr>
                <w:rFonts w:ascii="Verdana" w:hAnsi="Verdana" w:cs="Helvetica"/>
                <w:color w:val="1F1F1F"/>
              </w:rPr>
              <w:t>i</w:t>
            </w:r>
            <w:r>
              <w:rPr>
                <w:rFonts w:ascii="Verdana" w:hAnsi="Verdana" w:cs="Helvetica"/>
                <w:color w:val="1F1F1F"/>
              </w:rPr>
              <w:t>ne</w:t>
            </w:r>
            <w:r w:rsidRPr="008E4DE9">
              <w:rPr>
                <w:rFonts w:ascii="Verdana" w:hAnsi="Verdana" w:cs="Helvetica"/>
                <w:color w:val="1F1F1F"/>
              </w:rPr>
              <w:t xml:space="preserve"> dichiarato illecito il trattamento dei dati personali così raccolti e ne ha vietato l'u</w:t>
            </w:r>
            <w:r>
              <w:rPr>
                <w:rFonts w:ascii="Verdana" w:hAnsi="Verdana" w:cs="Helvetica"/>
                <w:color w:val="1F1F1F"/>
              </w:rPr>
              <w:t>tilizzo</w:t>
            </w:r>
            <w:r w:rsidRPr="008E4DE9">
              <w:rPr>
                <w:rFonts w:ascii="Verdana" w:hAnsi="Verdana" w:cs="Helvetica"/>
                <w:color w:val="1F1F1F"/>
              </w:rPr>
              <w:t>.</w:t>
            </w:r>
          </w:p>
        </w:tc>
      </w:tr>
    </w:tbl>
    <w:p w14:paraId="29B37B60" w14:textId="77777777" w:rsidR="000D5568" w:rsidRDefault="000D5568" w:rsidP="000D5568">
      <w:pPr>
        <w:pStyle w:val="Paragrafoelenco"/>
        <w:widowControl w:val="0"/>
        <w:autoSpaceDE w:val="0"/>
        <w:autoSpaceDN w:val="0"/>
        <w:adjustRightInd w:val="0"/>
        <w:spacing w:before="0" w:after="0" w:line="360" w:lineRule="auto"/>
        <w:ind w:left="0" w:firstLine="0"/>
        <w:rPr>
          <w:rFonts w:ascii="Verdana" w:hAnsi="Verdana" w:cs="Verdana"/>
          <w:lang w:eastAsia="it-IT"/>
        </w:rPr>
      </w:pPr>
      <w:r w:rsidRPr="008E4DE9">
        <w:rPr>
          <w:rFonts w:ascii="Verdana" w:hAnsi="Verdana" w:cs="Verdana"/>
          <w:lang w:eastAsia="it-IT"/>
        </w:rPr>
        <w:t xml:space="preserve">In relazione ai </w:t>
      </w:r>
      <w:r w:rsidRPr="008E4DE9">
        <w:rPr>
          <w:rFonts w:ascii="Verdana" w:hAnsi="Verdana" w:cs="Verdana"/>
          <w:b/>
          <w:u w:val="single"/>
          <w:lang w:eastAsia="it-IT"/>
        </w:rPr>
        <w:t>sistemi di rilevazione delle presenze</w:t>
      </w:r>
      <w:r w:rsidRPr="008E4DE9">
        <w:rPr>
          <w:rFonts w:ascii="Verdana" w:hAnsi="Verdana" w:cs="Verdana"/>
          <w:lang w:eastAsia="it-IT"/>
        </w:rPr>
        <w:t xml:space="preserve"> non può non essere menzionata la recente sentenza della Corte di Cassazione nella quale viene </w:t>
      </w:r>
      <w:r w:rsidRPr="008E4DE9">
        <w:rPr>
          <w:rFonts w:ascii="Verdana" w:hAnsi="Verdana" w:cs="Verdana"/>
          <w:lang w:eastAsia="it-IT"/>
        </w:rPr>
        <w:lastRenderedPageBreak/>
        <w:t>confermato che un'apparecchiatura predisposta dal datore di lavoro ("</w:t>
      </w:r>
      <w:r w:rsidRPr="008E4DE9">
        <w:rPr>
          <w:rFonts w:ascii="Verdana" w:hAnsi="Verdana" w:cs="Verdana"/>
          <w:b/>
          <w:u w:val="single"/>
          <w:lang w:eastAsia="it-IT"/>
        </w:rPr>
        <w:t>badge</w:t>
      </w:r>
      <w:r w:rsidRPr="008E4DE9">
        <w:rPr>
          <w:rFonts w:ascii="Verdana" w:hAnsi="Verdana" w:cs="Verdana"/>
          <w:lang w:eastAsia="it-IT"/>
        </w:rPr>
        <w:t>" idoneo a controllare l'ingresso e l'uscita del dipendente, ma anche le pause ed i permessi, ed a comparare nell'immediatezza i dati di tutti i dipendenti) ove sia utilizzabile anche in funzione di controllo a distanza del rispetto dell'orario di lavoro e della correttezza dell'esecuzione della prestazione... è illegittima, ai sensi dell’ art. 4 della L. 300/1970, se non concordata con le rappresentanze sin</w:t>
      </w:r>
      <w:r>
        <w:rPr>
          <w:rFonts w:ascii="Verdana" w:hAnsi="Verdana" w:cs="Verdana"/>
          <w:lang w:eastAsia="it-IT"/>
        </w:rPr>
        <w:t>dacali, ovvero autorizzata dalla Direzione Territoriale del L</w:t>
      </w:r>
      <w:r w:rsidRPr="008E4DE9">
        <w:rPr>
          <w:rFonts w:ascii="Verdana" w:hAnsi="Verdana" w:cs="Verdana"/>
          <w:lang w:eastAsia="it-IT"/>
        </w:rPr>
        <w:t>avoro, dovendosi escludere che l'esigenza di evitare condotte illecite da parte dei dipendenti possa assumere portata tale da giustificare un sostanziale annullamento di ogni forma di garanzia della dignità e riservatezza del lavoratore.</w:t>
      </w:r>
    </w:p>
    <w:p w14:paraId="6590E62B" w14:textId="77777777" w:rsidR="000D5568" w:rsidRPr="0042193F" w:rsidRDefault="000D5568" w:rsidP="000D5568">
      <w:pPr>
        <w:spacing w:line="360" w:lineRule="auto"/>
        <w:jc w:val="both"/>
        <w:rPr>
          <w:rFonts w:ascii="Verdana" w:hAnsi="Verdana" w:cs="Helvetica"/>
          <w:color w:val="1F1F1F"/>
        </w:rPr>
      </w:pPr>
      <w:r w:rsidRPr="0042193F">
        <w:rPr>
          <w:rFonts w:ascii="Verdana" w:hAnsi="Verdana" w:cs="Helvetica"/>
          <w:color w:val="1F1F1F"/>
        </w:rPr>
        <w:t xml:space="preserve">Viceversa, il Garante ha autorizzato l’ utilizzo di una </w:t>
      </w:r>
      <w:proofErr w:type="spellStart"/>
      <w:r>
        <w:rPr>
          <w:rFonts w:ascii="Verdana" w:hAnsi="Verdana" w:cs="Helvetica"/>
          <w:color w:val="1F1F1F"/>
        </w:rPr>
        <w:t>A</w:t>
      </w:r>
      <w:r w:rsidRPr="0042193F">
        <w:rPr>
          <w:rFonts w:ascii="Verdana" w:hAnsi="Verdana" w:cs="Helvetica"/>
          <w:color w:val="1F1F1F"/>
        </w:rPr>
        <w:t>pp</w:t>
      </w:r>
      <w:proofErr w:type="spellEnd"/>
      <w:r w:rsidRPr="0042193F">
        <w:rPr>
          <w:rFonts w:ascii="Verdana" w:hAnsi="Verdana" w:cs="Helvetica"/>
          <w:color w:val="1F1F1F"/>
        </w:rPr>
        <w:t xml:space="preserve"> per la rilevazione delle presenze seppur nel rispetto di determinate e stringenti vincoli: volontarietà da parte del lavoratore nell’ utilizzo dell’ applicazione in alternativa al badge, il sistema potrà conservare, oltre a data e orario della "timbratura" virtuale, il solo dato relativo alla sede di lavoro cancellando il dato relativo alla posizione del lavoratore e sullo schermo del  telefonino dovrà esser</w:t>
      </w:r>
      <w:r>
        <w:rPr>
          <w:rFonts w:ascii="Verdana" w:hAnsi="Verdana" w:cs="Helvetica"/>
          <w:color w:val="1F1F1F"/>
        </w:rPr>
        <w:t xml:space="preserve">e sempre ben visibile un'icona </w:t>
      </w:r>
      <w:r w:rsidRPr="0042193F">
        <w:rPr>
          <w:rFonts w:ascii="Verdana" w:hAnsi="Verdana" w:cs="Helvetica"/>
          <w:color w:val="1F1F1F"/>
        </w:rPr>
        <w:t>indic</w:t>
      </w:r>
      <w:r>
        <w:rPr>
          <w:rFonts w:ascii="Verdana" w:hAnsi="Verdana" w:cs="Helvetica"/>
          <w:color w:val="1F1F1F"/>
        </w:rPr>
        <w:t>ante</w:t>
      </w:r>
      <w:r w:rsidRPr="0042193F">
        <w:rPr>
          <w:rFonts w:ascii="Verdana" w:hAnsi="Verdana" w:cs="Helvetica"/>
          <w:color w:val="1F1F1F"/>
        </w:rPr>
        <w:t xml:space="preserve"> che la funzione di localizzazione è attiva. </w:t>
      </w:r>
    </w:p>
    <w:p w14:paraId="02DAE6BA" w14:textId="77777777" w:rsidR="000D5568" w:rsidRPr="0042193F" w:rsidRDefault="000D5568" w:rsidP="000D5568">
      <w:pPr>
        <w:spacing w:line="360" w:lineRule="auto"/>
        <w:jc w:val="both"/>
        <w:rPr>
          <w:rFonts w:ascii="Verdana" w:hAnsi="Verdana" w:cs="Helvetica"/>
          <w:color w:val="1F1F1F"/>
        </w:rPr>
      </w:pPr>
      <w:r w:rsidRPr="0042193F">
        <w:rPr>
          <w:rFonts w:ascii="Verdana" w:hAnsi="Verdana" w:cs="Helvetica"/>
          <w:color w:val="1F1F1F"/>
        </w:rPr>
        <w:t>Inoltre, l'applicazione dovrà poi essere configurata in modo tale da impedire il trattamento, anche accidentale, di altri dati contenuti nel dispositivo di proprietà del lavoratore (ad esempio, dati relativi al traffico telefonico, agli sms, alla posta elettronica, alla navigazione in Internet o altre informazioni presenti sul dispositivo).</w:t>
      </w:r>
    </w:p>
    <w:p w14:paraId="22D21EA7" w14:textId="77777777" w:rsidR="000D5568" w:rsidRPr="008E4DE9" w:rsidRDefault="000D5568" w:rsidP="000D5568">
      <w:pPr>
        <w:pStyle w:val="Paragrafoelenco"/>
        <w:widowControl w:val="0"/>
        <w:autoSpaceDE w:val="0"/>
        <w:autoSpaceDN w:val="0"/>
        <w:adjustRightInd w:val="0"/>
        <w:spacing w:before="0" w:after="0" w:line="360" w:lineRule="auto"/>
        <w:ind w:left="0" w:firstLine="0"/>
        <w:rPr>
          <w:rFonts w:ascii="Verdana" w:hAnsi="Verdana" w:cs="Verdana"/>
          <w:lang w:eastAsia="it-IT"/>
        </w:rPr>
      </w:pPr>
      <w:r w:rsidRPr="0042193F">
        <w:rPr>
          <w:rFonts w:ascii="Verdana" w:hAnsi="Verdana" w:cs="Helvetica"/>
          <w:color w:val="1F1F1F"/>
        </w:rPr>
        <w:t>Infine, il datore di lavoro dovrà adottare tutte le misure di sicurezza previste dalla normativa per preservare l'integrità dei dati e l'accesso a persone non autorizzate</w:t>
      </w:r>
    </w:p>
    <w:p w14:paraId="71EE9F2B" w14:textId="77777777" w:rsidR="000D5568" w:rsidRDefault="000D5568" w:rsidP="000D5568">
      <w:pPr>
        <w:pStyle w:val="Paragrafoelenco"/>
        <w:widowControl w:val="0"/>
        <w:autoSpaceDE w:val="0"/>
        <w:autoSpaceDN w:val="0"/>
        <w:adjustRightInd w:val="0"/>
        <w:spacing w:before="0" w:after="0" w:line="360" w:lineRule="auto"/>
        <w:ind w:left="0" w:firstLine="0"/>
        <w:rPr>
          <w:rFonts w:ascii="Verdana" w:hAnsi="Verdana" w:cs="Verdana Bold Italic"/>
          <w:highlight w:val="yellow"/>
        </w:rPr>
      </w:pPr>
    </w:p>
    <w:p w14:paraId="1B121F3C" w14:textId="77777777" w:rsidR="001C1AF5" w:rsidRPr="000D5568" w:rsidRDefault="001C1AF5" w:rsidP="001C1AF5">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DIMISSIONI ON LINE</w:t>
      </w:r>
    </w:p>
    <w:p w14:paraId="2144FCD1" w14:textId="77777777" w:rsidR="001C1AF5" w:rsidRPr="000D5568" w:rsidRDefault="001C1AF5" w:rsidP="001C1AF5">
      <w:pPr>
        <w:pBdr>
          <w:bottom w:val="single" w:sz="4" w:space="1" w:color="auto"/>
        </w:pBdr>
        <w:shd w:val="clear" w:color="auto" w:fill="3B6FAB"/>
        <w:spacing w:line="360" w:lineRule="auto"/>
        <w:ind w:right="-1"/>
        <w:jc w:val="both"/>
        <w:rPr>
          <w:rFonts w:ascii="Verdana" w:hAnsi="Verdana"/>
          <w:b/>
          <w:bCs/>
          <w:color w:val="FFFFFF" w:themeColor="background1"/>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14:shadow w14:blurRad="50800" w14:dist="38100" w14:dir="2700000" w14:sx="100000" w14:sy="100000" w14:kx="0" w14:ky="0" w14:algn="tl">
            <w14:srgbClr w14:val="000000">
              <w14:alpha w14:val="60000"/>
            </w14:srgbClr>
          </w14:shadow>
        </w:rPr>
        <w:t>(</w:t>
      </w:r>
      <w:r w:rsidRPr="000D5568">
        <w:rPr>
          <w:rFonts w:ascii="Verdana" w:hAnsi="Verdana"/>
          <w:b/>
          <w:bCs/>
          <w:color w:val="FFFFFF" w:themeColor="background1"/>
          <w14:shadow w14:blurRad="50800" w14:dist="38100" w14:dir="2700000" w14:sx="100000" w14:sy="100000" w14:kx="0" w14:ky="0" w14:algn="tl">
            <w14:srgbClr w14:val="000000">
              <w14:alpha w14:val="60000"/>
            </w14:srgbClr>
          </w14:shadow>
        </w:rPr>
        <w:t>Ministero del Lavoro, Sito Internet</w:t>
      </w:r>
      <w:r w:rsidRPr="000D5568">
        <w:rPr>
          <w:rFonts w:ascii="Verdana" w:hAnsi="Verdana" w:cs="Lucida Sans Unicode"/>
          <w:b/>
          <w:bCs/>
          <w:color w:val="FFFFFF" w:themeColor="background1"/>
          <w14:shadow w14:blurRad="50800" w14:dist="38100" w14:dir="2700000" w14:sx="100000" w14:sy="100000" w14:kx="0" w14:ky="0" w14:algn="tl">
            <w14:srgbClr w14:val="000000">
              <w14:alpha w14:val="60000"/>
            </w14:srgbClr>
          </w14:shadow>
        </w:rPr>
        <w:t>)</w:t>
      </w:r>
    </w:p>
    <w:p w14:paraId="6EA3A45B" w14:textId="77777777" w:rsidR="001C1AF5" w:rsidRPr="006D710A" w:rsidRDefault="001C1AF5" w:rsidP="001C1AF5">
      <w:pPr>
        <w:pStyle w:val="NormaleWeb"/>
        <w:spacing w:before="0" w:beforeAutospacing="0" w:after="0" w:afterAutospacing="0" w:line="360" w:lineRule="auto"/>
        <w:jc w:val="both"/>
        <w:rPr>
          <w:rFonts w:ascii="Verdana" w:hAnsi="Verdana"/>
        </w:rPr>
      </w:pPr>
      <w:r w:rsidRPr="00CB5160">
        <w:rPr>
          <w:rFonts w:ascii="Verdana" w:hAnsi="Verdana" w:cs="Tahoma"/>
          <w:sz w:val="22"/>
          <w:szCs w:val="22"/>
        </w:rPr>
        <w:t>Il Ministero del Lavoro è intervenuto precisando che, a seguito dell’indisponibilità temporanea del sistema dovuta a ragioni di natura tecnica, al fine di adempiere</w:t>
      </w:r>
      <w:r w:rsidRPr="006D710A">
        <w:rPr>
          <w:rFonts w:ascii="Verdana" w:hAnsi="Verdana" w:cs="Tahoma"/>
          <w:sz w:val="22"/>
          <w:szCs w:val="22"/>
        </w:rPr>
        <w:t xml:space="preserve"> all’obbligo di legge riguardante la comunicazione delle dimissioni volontarie e della </w:t>
      </w:r>
      <w:r w:rsidRPr="006D710A">
        <w:rPr>
          <w:rFonts w:ascii="Verdana" w:hAnsi="Verdana" w:cs="Tahoma"/>
          <w:sz w:val="22"/>
          <w:szCs w:val="22"/>
        </w:rPr>
        <w:lastRenderedPageBreak/>
        <w:t xml:space="preserve">risoluzione consensuale del rapporto di lavoro, il lavoratore dovrà compilare e apposito modello e trasmetterlo utilizzando una delle seguenti modalità operative: </w:t>
      </w:r>
    </w:p>
    <w:p w14:paraId="16E52D60" w14:textId="77777777" w:rsidR="001C1AF5" w:rsidRPr="006D710A" w:rsidRDefault="001C1AF5" w:rsidP="001C1AF5">
      <w:pPr>
        <w:pStyle w:val="NormaleWeb"/>
        <w:numPr>
          <w:ilvl w:val="0"/>
          <w:numId w:val="18"/>
        </w:numPr>
        <w:spacing w:before="0" w:beforeAutospacing="0" w:after="0" w:afterAutospacing="0" w:line="360" w:lineRule="auto"/>
        <w:jc w:val="both"/>
        <w:rPr>
          <w:rFonts w:ascii="Verdana" w:hAnsi="Verdana"/>
          <w:sz w:val="22"/>
          <w:szCs w:val="22"/>
        </w:rPr>
      </w:pPr>
      <w:r w:rsidRPr="006D710A">
        <w:rPr>
          <w:rFonts w:ascii="Verdana" w:hAnsi="Verdana" w:cs="Tahoma"/>
          <w:sz w:val="22"/>
          <w:szCs w:val="22"/>
        </w:rPr>
        <w:t xml:space="preserve">recandosi presso la Direzione Territoriale del Lavoro competente; </w:t>
      </w:r>
    </w:p>
    <w:p w14:paraId="710A6828" w14:textId="77777777" w:rsidR="001C1AF5" w:rsidRPr="006D710A" w:rsidRDefault="001C1AF5" w:rsidP="001C1AF5">
      <w:pPr>
        <w:pStyle w:val="NormaleWeb"/>
        <w:numPr>
          <w:ilvl w:val="0"/>
          <w:numId w:val="18"/>
        </w:numPr>
        <w:spacing w:before="0" w:beforeAutospacing="0" w:after="0" w:afterAutospacing="0" w:line="360" w:lineRule="auto"/>
        <w:jc w:val="both"/>
        <w:rPr>
          <w:rFonts w:ascii="Verdana" w:hAnsi="Verdana"/>
          <w:sz w:val="22"/>
          <w:szCs w:val="22"/>
        </w:rPr>
      </w:pPr>
      <w:r w:rsidRPr="006D710A">
        <w:rPr>
          <w:rFonts w:ascii="Verdana" w:hAnsi="Verdana" w:cs="Tahoma"/>
          <w:sz w:val="22"/>
          <w:szCs w:val="22"/>
        </w:rPr>
        <w:t>recandosi presso i soggetti abilitati (</w:t>
      </w:r>
      <w:r w:rsidRPr="006D710A">
        <w:rPr>
          <w:rFonts w:ascii="Verdana" w:hAnsi="Verdana" w:cs="Verdana Bold Italic"/>
          <w:sz w:val="22"/>
          <w:szCs w:val="22"/>
        </w:rPr>
        <w:t>patronati, organizzazioni sindacali, commissioni di certificazione, enti bilaterali ed a breve anche ai Consulenti Del Lavoro</w:t>
      </w:r>
      <w:r w:rsidRPr="006D710A">
        <w:rPr>
          <w:rFonts w:ascii="Verdana" w:hAnsi="Verdana" w:cs="Tahoma"/>
          <w:sz w:val="22"/>
          <w:szCs w:val="22"/>
        </w:rPr>
        <w:t>);</w:t>
      </w:r>
    </w:p>
    <w:p w14:paraId="374AADC9" w14:textId="77777777" w:rsidR="001C1AF5" w:rsidRPr="006D710A" w:rsidRDefault="001C1AF5" w:rsidP="001C1AF5">
      <w:pPr>
        <w:pStyle w:val="NormaleWeb"/>
        <w:numPr>
          <w:ilvl w:val="0"/>
          <w:numId w:val="18"/>
        </w:numPr>
        <w:spacing w:before="0" w:beforeAutospacing="0" w:after="0" w:afterAutospacing="0" w:line="360" w:lineRule="auto"/>
        <w:jc w:val="both"/>
        <w:rPr>
          <w:rFonts w:ascii="Verdana" w:hAnsi="Verdana"/>
        </w:rPr>
      </w:pPr>
      <w:r>
        <w:rPr>
          <w:rFonts w:ascii="Verdana" w:hAnsi="Verdana" w:cs="Tahoma"/>
          <w:sz w:val="22"/>
          <w:szCs w:val="22"/>
        </w:rPr>
        <w:t>autonomamente</w:t>
      </w:r>
      <w:r w:rsidRPr="006D710A">
        <w:rPr>
          <w:rFonts w:ascii="Verdana" w:hAnsi="Verdana" w:cs="Tahoma"/>
          <w:sz w:val="22"/>
          <w:szCs w:val="22"/>
        </w:rPr>
        <w:t xml:space="preserve"> dalla propria casella di posta elettronica</w:t>
      </w:r>
      <w:r>
        <w:rPr>
          <w:rFonts w:ascii="Verdana" w:hAnsi="Verdana" w:cs="Tahoma"/>
          <w:sz w:val="22"/>
          <w:szCs w:val="22"/>
        </w:rPr>
        <w:t xml:space="preserve"> all’ indirizzo sdv@lavoro.</w:t>
      </w:r>
      <w:proofErr w:type="spellStart"/>
      <w:r>
        <w:rPr>
          <w:rFonts w:ascii="Verdana" w:hAnsi="Verdana" w:cs="Tahoma"/>
          <w:sz w:val="22"/>
          <w:szCs w:val="22"/>
        </w:rPr>
        <w:t>gov</w:t>
      </w:r>
      <w:proofErr w:type="spellEnd"/>
      <w:r>
        <w:rPr>
          <w:rFonts w:ascii="Verdana" w:hAnsi="Verdana" w:cs="Tahoma"/>
          <w:sz w:val="22"/>
          <w:szCs w:val="22"/>
        </w:rPr>
        <w:t>..</w:t>
      </w:r>
      <w:proofErr w:type="spellStart"/>
      <w:r>
        <w:rPr>
          <w:rFonts w:ascii="Verdana" w:hAnsi="Verdana" w:cs="Tahoma"/>
          <w:sz w:val="22"/>
          <w:szCs w:val="22"/>
        </w:rPr>
        <w:t>it</w:t>
      </w:r>
      <w:proofErr w:type="spellEnd"/>
      <w:r w:rsidRPr="006D710A">
        <w:rPr>
          <w:rFonts w:ascii="Verdana" w:hAnsi="Verdana" w:cs="Tahoma"/>
          <w:sz w:val="22"/>
          <w:szCs w:val="22"/>
        </w:rPr>
        <w:t xml:space="preserve"> allega</w:t>
      </w:r>
      <w:r>
        <w:rPr>
          <w:rFonts w:ascii="Verdana" w:hAnsi="Verdana" w:cs="Tahoma"/>
          <w:sz w:val="22"/>
          <w:szCs w:val="22"/>
        </w:rPr>
        <w:t xml:space="preserve">ndo al modello in formato </w:t>
      </w:r>
      <w:r w:rsidRPr="006D710A">
        <w:rPr>
          <w:rFonts w:ascii="Verdana" w:hAnsi="Verdana" w:cs="Tahoma"/>
          <w:sz w:val="22"/>
          <w:szCs w:val="22"/>
        </w:rPr>
        <w:t>pdf anche la copia d</w:t>
      </w:r>
      <w:r>
        <w:rPr>
          <w:rFonts w:ascii="Verdana" w:hAnsi="Verdana" w:cs="Tahoma"/>
          <w:sz w:val="22"/>
          <w:szCs w:val="22"/>
        </w:rPr>
        <w:t xml:space="preserve">i un </w:t>
      </w:r>
      <w:r w:rsidRPr="006D710A">
        <w:rPr>
          <w:rFonts w:ascii="Verdana" w:hAnsi="Verdana" w:cs="Tahoma"/>
          <w:sz w:val="22"/>
          <w:szCs w:val="22"/>
        </w:rPr>
        <w:t xml:space="preserve">proprio documento di riconoscimento. </w:t>
      </w:r>
    </w:p>
    <w:p w14:paraId="46F9B72F" w14:textId="77777777" w:rsidR="001C1AF5" w:rsidRDefault="001C1AF5" w:rsidP="001C1AF5">
      <w:pPr>
        <w:pStyle w:val="NormaleWeb"/>
        <w:spacing w:before="0" w:beforeAutospacing="0" w:after="0" w:afterAutospacing="0" w:line="360" w:lineRule="auto"/>
        <w:jc w:val="both"/>
        <w:rPr>
          <w:rFonts w:ascii="Verdana" w:hAnsi="Verdana" w:cs="Tahoma"/>
          <w:sz w:val="22"/>
          <w:szCs w:val="22"/>
        </w:rPr>
      </w:pPr>
    </w:p>
    <w:p w14:paraId="74F564A1" w14:textId="77777777" w:rsidR="001C1AF5" w:rsidRDefault="001C1AF5" w:rsidP="001C1AF5">
      <w:pPr>
        <w:pStyle w:val="NormaleWeb"/>
        <w:spacing w:before="0" w:beforeAutospacing="0" w:after="0" w:afterAutospacing="0" w:line="360" w:lineRule="auto"/>
        <w:jc w:val="both"/>
        <w:rPr>
          <w:rFonts w:ascii="Verdana" w:hAnsi="Verdana" w:cs="Tahoma"/>
          <w:sz w:val="22"/>
          <w:szCs w:val="22"/>
        </w:rPr>
      </w:pPr>
      <w:r w:rsidRPr="006D710A">
        <w:rPr>
          <w:rFonts w:ascii="Verdana" w:hAnsi="Verdana" w:cs="Tahoma"/>
          <w:sz w:val="22"/>
          <w:szCs w:val="22"/>
        </w:rPr>
        <w:t xml:space="preserve">Saranno considerate valide le comunicazioni, effettuate tramite </w:t>
      </w:r>
      <w:r>
        <w:rPr>
          <w:rFonts w:ascii="Verdana" w:hAnsi="Verdana" w:cs="Tahoma"/>
          <w:sz w:val="22"/>
          <w:szCs w:val="22"/>
        </w:rPr>
        <w:t>le sopraccitate modalità per</w:t>
      </w:r>
      <w:r w:rsidRPr="006D710A">
        <w:rPr>
          <w:rFonts w:ascii="Verdana" w:hAnsi="Verdana" w:cs="Tahoma"/>
          <w:sz w:val="22"/>
          <w:szCs w:val="22"/>
        </w:rPr>
        <w:t xml:space="preserve"> eventi avvenuti a partire dal</w:t>
      </w:r>
      <w:r>
        <w:rPr>
          <w:rFonts w:ascii="Verdana" w:hAnsi="Verdana" w:cs="Tahoma"/>
          <w:sz w:val="22"/>
          <w:szCs w:val="22"/>
        </w:rPr>
        <w:t>lo scorso</w:t>
      </w:r>
      <w:r w:rsidRPr="006D710A">
        <w:rPr>
          <w:rFonts w:ascii="Verdana" w:hAnsi="Verdana" w:cs="Tahoma"/>
          <w:sz w:val="22"/>
          <w:szCs w:val="22"/>
        </w:rPr>
        <w:t xml:space="preserve"> 3 ottobre</w:t>
      </w:r>
      <w:r>
        <w:rPr>
          <w:rFonts w:ascii="Verdana" w:hAnsi="Verdana" w:cs="Tahoma"/>
          <w:sz w:val="22"/>
          <w:szCs w:val="22"/>
        </w:rPr>
        <w:t>.</w:t>
      </w:r>
    </w:p>
    <w:p w14:paraId="7935ABF0" w14:textId="77777777" w:rsidR="001C1AF5" w:rsidRPr="002576A4" w:rsidRDefault="001C1AF5" w:rsidP="000D5568">
      <w:pPr>
        <w:pStyle w:val="Paragrafoelenco"/>
        <w:widowControl w:val="0"/>
        <w:autoSpaceDE w:val="0"/>
        <w:autoSpaceDN w:val="0"/>
        <w:adjustRightInd w:val="0"/>
        <w:spacing w:before="0" w:after="0" w:line="360" w:lineRule="auto"/>
        <w:ind w:left="0" w:firstLine="0"/>
        <w:rPr>
          <w:rFonts w:ascii="Verdana" w:hAnsi="Verdana" w:cs="Verdana Bold Italic"/>
          <w:highlight w:val="yellow"/>
        </w:rPr>
      </w:pPr>
    </w:p>
    <w:p w14:paraId="5B2E67DD"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PERMESSI LEGGE 104 PER IL CONVIVENTE MORE UXORIO</w:t>
      </w:r>
    </w:p>
    <w:p w14:paraId="1E53703D"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b/>
          <w:bCs/>
          <w:color w:val="FFFFFF" w:themeColor="background1"/>
        </w:rPr>
        <w:t>(</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Corte Costituzionale, sentenza n.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213</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del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23.09.2016</w:t>
      </w:r>
      <w:r w:rsidRPr="000D5568">
        <w:rPr>
          <w:rFonts w:ascii="Verdana" w:hAnsi="Verdana"/>
          <w:b/>
          <w:bCs/>
          <w:color w:val="FFFFFF" w:themeColor="background1"/>
          <w14:shadow w14:blurRad="50800" w14:dist="38100" w14:dir="2700000" w14:sx="100000" w14:sy="100000" w14:kx="0" w14:ky="0" w14:algn="tl">
            <w14:srgbClr w14:val="000000">
              <w14:alpha w14:val="60000"/>
            </w14:srgbClr>
          </w14:shadow>
        </w:rPr>
        <w:t>)</w:t>
      </w:r>
    </w:p>
    <w:tbl>
      <w:tblPr>
        <w:tblW w:w="9889" w:type="dxa"/>
        <w:tblBorders>
          <w:top w:val="nil"/>
          <w:left w:val="nil"/>
          <w:right w:val="nil"/>
        </w:tblBorders>
        <w:tblLayout w:type="fixed"/>
        <w:tblLook w:val="0000" w:firstRow="0" w:lastRow="0" w:firstColumn="0" w:lastColumn="0" w:noHBand="0" w:noVBand="0"/>
      </w:tblPr>
      <w:tblGrid>
        <w:gridCol w:w="9889"/>
      </w:tblGrid>
      <w:tr w:rsidR="000D5568" w:rsidRPr="008E4DE9" w14:paraId="2C7E63DE" w14:textId="77777777" w:rsidTr="00A12666">
        <w:tc>
          <w:tcPr>
            <w:tcW w:w="9889" w:type="dxa"/>
          </w:tcPr>
          <w:p w14:paraId="02059DAB" w14:textId="77777777" w:rsidR="000D5568" w:rsidRPr="008E4DE9" w:rsidRDefault="000D5568" w:rsidP="000D5568">
            <w:pPr>
              <w:widowControl w:val="0"/>
              <w:autoSpaceDE w:val="0"/>
              <w:autoSpaceDN w:val="0"/>
              <w:adjustRightInd w:val="0"/>
              <w:spacing w:line="360" w:lineRule="auto"/>
              <w:jc w:val="both"/>
              <w:rPr>
                <w:rFonts w:ascii="Verdana" w:hAnsi="Verdana" w:cs="Helvetica"/>
                <w:color w:val="1F1F1F"/>
              </w:rPr>
            </w:pPr>
            <w:r w:rsidRPr="008E4DE9">
              <w:rPr>
                <w:rFonts w:ascii="Verdana" w:hAnsi="Verdana"/>
                <w:noProof/>
              </w:rPr>
              <w:drawing>
                <wp:anchor distT="0" distB="0" distL="114300" distR="114300" simplePos="0" relativeHeight="251663360" behindDoc="0" locked="0" layoutInCell="1" allowOverlap="1" wp14:anchorId="45BAB07D" wp14:editId="26118E78">
                  <wp:simplePos x="0" y="0"/>
                  <wp:positionH relativeFrom="column">
                    <wp:posOffset>0</wp:posOffset>
                  </wp:positionH>
                  <wp:positionV relativeFrom="paragraph">
                    <wp:posOffset>62230</wp:posOffset>
                  </wp:positionV>
                  <wp:extent cx="603250" cy="603250"/>
                  <wp:effectExtent l="0" t="0" r="6350" b="6350"/>
                  <wp:wrapSquare wrapText="bothSides"/>
                  <wp:docPr id="5" name="Immagine 5" descr="view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iewm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La Corte Costituzionale ha dichiarato l’ illegittimità costituzionale della L. 104/1992 nella parte in cui non estende al convivente more uxorio il diritto di fruire del permesso mensile retribuito per l’ assistenza alla persona con handicap in situazione di gravità</w:t>
            </w:r>
            <w:r w:rsidRPr="008E4DE9">
              <w:rPr>
                <w:rFonts w:ascii="Verdana" w:hAnsi="Verdana" w:cs="Helvetica"/>
                <w:color w:val="1F1F1F"/>
              </w:rPr>
              <w:t xml:space="preserve">. </w:t>
            </w:r>
          </w:p>
        </w:tc>
      </w:tr>
    </w:tbl>
    <w:p w14:paraId="07C9FEB7" w14:textId="77777777" w:rsidR="000D5568" w:rsidRDefault="000D5568" w:rsidP="000D5568">
      <w:pPr>
        <w:spacing w:line="360" w:lineRule="auto"/>
        <w:jc w:val="both"/>
        <w:rPr>
          <w:rFonts w:ascii="Verdana" w:hAnsi="Verdana"/>
          <w:highlight w:val="yellow"/>
        </w:rPr>
      </w:pPr>
    </w:p>
    <w:p w14:paraId="542A2A33"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INFORTUNI SUL LAVORO</w:t>
      </w:r>
    </w:p>
    <w:p w14:paraId="70A1BF8A"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b/>
          <w:bCs/>
          <w:color w:val="FFFFFF" w:themeColor="background1"/>
          <w14:shadow w14:blurRad="50800" w14:dist="38100" w14:dir="2700000" w14:sx="100000" w14:sy="100000" w14:kx="0" w14:ky="0" w14:algn="tl">
            <w14:srgbClr w14:val="000000">
              <w14:alpha w14:val="60000"/>
            </w14:srgbClr>
          </w14:shadow>
        </w:rPr>
      </w:pPr>
      <w:r w:rsidRPr="000D5568">
        <w:rPr>
          <w:rFonts w:ascii="Verdana" w:hAnsi="Verdana"/>
          <w:b/>
          <w:bCs/>
          <w:color w:val="FFFFFF" w:themeColor="background1"/>
        </w:rPr>
        <w:t>(</w:t>
      </w:r>
      <w:r w:rsidRPr="000D5568">
        <w:rPr>
          <w:rFonts w:ascii="Verdana" w:hAnsi="Verdana"/>
          <w:b/>
          <w:bCs/>
          <w:color w:val="FFFFFF" w:themeColor="background1"/>
          <w14:shadow w14:blurRad="50800" w14:dist="38100" w14:dir="2700000" w14:sx="100000" w14:sy="100000" w14:kx="0" w14:ky="0" w14:algn="tl">
            <w14:srgbClr w14:val="000000">
              <w14:alpha w14:val="60000"/>
            </w14:srgbClr>
          </w14:shadow>
        </w:rPr>
        <w:t>INAIL, Circolare n. 10 del 21.03.2016)</w:t>
      </w:r>
    </w:p>
    <w:p w14:paraId="083E093F" w14:textId="77777777" w:rsidR="000D5568" w:rsidRPr="0085669B" w:rsidRDefault="000D5568" w:rsidP="000D5568">
      <w:pPr>
        <w:pStyle w:val="NormaleWeb"/>
        <w:spacing w:before="0" w:beforeAutospacing="0" w:after="0" w:afterAutospacing="0" w:line="360" w:lineRule="auto"/>
        <w:jc w:val="both"/>
        <w:rPr>
          <w:rFonts w:ascii="Verdana" w:hAnsi="Verdana" w:cs="Arial"/>
          <w:sz w:val="22"/>
          <w:szCs w:val="22"/>
        </w:rPr>
      </w:pPr>
      <w:r w:rsidRPr="0085669B">
        <w:rPr>
          <w:rFonts w:ascii="Verdana" w:hAnsi="Verdana" w:cs="Arial"/>
          <w:sz w:val="22"/>
          <w:szCs w:val="22"/>
        </w:rPr>
        <w:t xml:space="preserve">A seguito dell’ entrata in funzione del SINP, che avverrà il prossimo  12 ottobre 2016, scatta l’obbligo, previsto dal D. </w:t>
      </w:r>
      <w:proofErr w:type="spellStart"/>
      <w:r w:rsidRPr="0085669B">
        <w:rPr>
          <w:rFonts w:ascii="Verdana" w:hAnsi="Verdana" w:cs="Arial"/>
          <w:sz w:val="22"/>
          <w:szCs w:val="22"/>
        </w:rPr>
        <w:t>Lgs</w:t>
      </w:r>
      <w:proofErr w:type="spellEnd"/>
      <w:r w:rsidRPr="0085669B">
        <w:rPr>
          <w:rFonts w:ascii="Verdana" w:hAnsi="Verdana" w:cs="Arial"/>
          <w:sz w:val="22"/>
          <w:szCs w:val="22"/>
        </w:rPr>
        <w:t xml:space="preserve">. 81/2008, di comunicare in via telematica all’INAIL e all’IPSEMA, entro 48 ore dalla ricezione del certificato medico, i dati e le informazioni relativi agli infortuni sul lavoro che comportino l’assenza dal lavoro di almeno un giorno. </w:t>
      </w:r>
    </w:p>
    <w:p w14:paraId="4EF56FF5" w14:textId="77777777" w:rsidR="000D5568" w:rsidRPr="0085669B" w:rsidRDefault="000D5568" w:rsidP="000D5568">
      <w:pPr>
        <w:pStyle w:val="NormaleWeb"/>
        <w:spacing w:before="0" w:beforeAutospacing="0" w:after="0" w:afterAutospacing="0" w:line="360" w:lineRule="auto"/>
        <w:jc w:val="both"/>
        <w:rPr>
          <w:rFonts w:ascii="Verdana" w:hAnsi="Verdana" w:cs="Arial"/>
          <w:sz w:val="22"/>
          <w:szCs w:val="22"/>
        </w:rPr>
      </w:pPr>
      <w:r w:rsidRPr="0085669B">
        <w:rPr>
          <w:rFonts w:ascii="Verdana" w:hAnsi="Verdana" w:cs="Arial"/>
          <w:sz w:val="22"/>
          <w:szCs w:val="22"/>
        </w:rPr>
        <w:lastRenderedPageBreak/>
        <w:t>Tale obbligo però, così come previsto dal T.U. Sicurezza, non sorgerà immediatamente ma dal prossimo 12 aprile 2017 (nei sei mesi successivi).</w:t>
      </w:r>
    </w:p>
    <w:p w14:paraId="38D4DB14" w14:textId="77777777" w:rsidR="000D5568" w:rsidRPr="00900C66" w:rsidRDefault="000D5568" w:rsidP="000D5568">
      <w:pPr>
        <w:widowControl w:val="0"/>
        <w:autoSpaceDE w:val="0"/>
        <w:autoSpaceDN w:val="0"/>
        <w:adjustRightInd w:val="0"/>
        <w:spacing w:line="360" w:lineRule="auto"/>
        <w:jc w:val="both"/>
        <w:rPr>
          <w:rFonts w:ascii="Verdana" w:hAnsi="Verdana" w:cs="Verdana Bold Italic"/>
        </w:rPr>
      </w:pPr>
      <w:r w:rsidRPr="00523081">
        <w:rPr>
          <w:rFonts w:ascii="Verdana" w:hAnsi="Verdana" w:cs="SourceSansPro-It"/>
          <w:iCs/>
          <w:color w:val="262626"/>
        </w:rPr>
        <w:t xml:space="preserve">La violazione del suddetto obbligo </w:t>
      </w:r>
      <w:r>
        <w:rPr>
          <w:rFonts w:ascii="Verdana" w:hAnsi="Verdana" w:cs="SourceSansPro-It"/>
          <w:iCs/>
          <w:color w:val="262626"/>
        </w:rPr>
        <w:t>sarà</w:t>
      </w:r>
      <w:r w:rsidRPr="00523081">
        <w:rPr>
          <w:rFonts w:ascii="Verdana" w:hAnsi="Verdana" w:cs="SourceSansPro-It"/>
          <w:iCs/>
          <w:color w:val="262626"/>
        </w:rPr>
        <w:t xml:space="preserve"> punita con la sanzione amministrativa da un minimo di €. </w:t>
      </w:r>
      <w:r>
        <w:rPr>
          <w:rFonts w:ascii="Verdana" w:hAnsi="Verdana" w:cs="SourceSansPro-It"/>
          <w:iCs/>
          <w:color w:val="262626"/>
        </w:rPr>
        <w:t>548</w:t>
      </w:r>
      <w:r w:rsidRPr="00523081">
        <w:rPr>
          <w:rFonts w:ascii="Verdana" w:hAnsi="Verdana" w:cs="SourceSansPro-It"/>
          <w:iCs/>
          <w:color w:val="262626"/>
        </w:rPr>
        <w:t xml:space="preserve">,00 ad un massimo di €. </w:t>
      </w:r>
      <w:r>
        <w:rPr>
          <w:rFonts w:ascii="Verdana" w:hAnsi="Verdana" w:cs="SourceSansPro-It"/>
          <w:iCs/>
          <w:color w:val="262626"/>
        </w:rPr>
        <w:t>1.972</w:t>
      </w:r>
      <w:r w:rsidRPr="00523081">
        <w:rPr>
          <w:rFonts w:ascii="Verdana" w:hAnsi="Verdana" w:cs="SourceSansPro-It"/>
          <w:iCs/>
          <w:color w:val="262626"/>
        </w:rPr>
        <w:t>,</w:t>
      </w:r>
      <w:r>
        <w:rPr>
          <w:rFonts w:ascii="Verdana" w:hAnsi="Verdana" w:cs="SourceSansPro-It"/>
          <w:iCs/>
          <w:color w:val="262626"/>
        </w:rPr>
        <w:t>8</w:t>
      </w:r>
      <w:r w:rsidRPr="00523081">
        <w:rPr>
          <w:rFonts w:ascii="Verdana" w:hAnsi="Verdana" w:cs="SourceSansPro-It"/>
          <w:iCs/>
          <w:color w:val="262626"/>
        </w:rPr>
        <w:t>0 per ciascuna comunicazione omessa.</w:t>
      </w:r>
      <w:r w:rsidRPr="00523081">
        <w:rPr>
          <w:rFonts w:ascii="Verdana" w:hAnsi="Verdana" w:cs="Verdana Bold Italic"/>
        </w:rPr>
        <w:t xml:space="preserve"> </w:t>
      </w:r>
    </w:p>
    <w:p w14:paraId="58E55645" w14:textId="77777777" w:rsidR="000D5568" w:rsidRDefault="000D5568" w:rsidP="000D5568">
      <w:pPr>
        <w:pStyle w:val="NormaleWeb"/>
        <w:spacing w:before="0" w:beforeAutospacing="0" w:after="0" w:afterAutospacing="0" w:line="360" w:lineRule="auto"/>
        <w:jc w:val="both"/>
        <w:rPr>
          <w:rFonts w:ascii="Verdana" w:hAnsi="Verdana" w:cs="Arial"/>
          <w:sz w:val="22"/>
          <w:szCs w:val="22"/>
        </w:rPr>
      </w:pPr>
      <w:r w:rsidRPr="0085669B">
        <w:rPr>
          <w:rFonts w:ascii="Verdana" w:hAnsi="Verdana" w:cs="Arial"/>
          <w:sz w:val="22"/>
          <w:szCs w:val="22"/>
        </w:rPr>
        <w:t>Nulla cambia in merito agli infortuni che comportino l’assenza dal lavoro di almeno tre giorni</w:t>
      </w:r>
      <w:r>
        <w:rPr>
          <w:rFonts w:ascii="Verdana" w:hAnsi="Verdana" w:cs="Arial"/>
          <w:sz w:val="22"/>
          <w:szCs w:val="22"/>
        </w:rPr>
        <w:t xml:space="preserve"> i quali dovranno continuare ad essere denunciati seguendo le modalità attualmente in vigore</w:t>
      </w:r>
      <w:r w:rsidRPr="0085669B">
        <w:rPr>
          <w:rFonts w:ascii="Verdana" w:hAnsi="Verdana" w:cs="Arial"/>
          <w:sz w:val="22"/>
          <w:szCs w:val="22"/>
        </w:rPr>
        <w:t xml:space="preserve">. </w:t>
      </w:r>
    </w:p>
    <w:p w14:paraId="62578F87" w14:textId="77777777" w:rsidR="000D5568" w:rsidRPr="002576A4" w:rsidRDefault="000D5568" w:rsidP="000D5568">
      <w:pPr>
        <w:spacing w:line="360" w:lineRule="auto"/>
        <w:jc w:val="both"/>
        <w:rPr>
          <w:rFonts w:ascii="Verdana" w:hAnsi="Verdana"/>
          <w:highlight w:val="yellow"/>
        </w:rPr>
      </w:pPr>
    </w:p>
    <w:p w14:paraId="6B3D6C66" w14:textId="77777777" w:rsidR="000D5568" w:rsidRPr="000D5568" w:rsidRDefault="000D5568" w:rsidP="000D5568">
      <w:pPr>
        <w:pBdr>
          <w:bottom w:val="single" w:sz="4" w:space="1" w:color="auto"/>
        </w:pBdr>
        <w:shd w:val="clear" w:color="auto" w:fill="3B6FAB"/>
        <w:tabs>
          <w:tab w:val="left" w:pos="2694"/>
        </w:tabs>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INTERVENTI GIURISPRUDENZIALI</w:t>
      </w:r>
    </w:p>
    <w:p w14:paraId="2E746E8E" w14:textId="77777777" w:rsidR="000D5568" w:rsidRPr="000D5568" w:rsidRDefault="000D5568" w:rsidP="000D5568">
      <w:pPr>
        <w:pBdr>
          <w:bottom w:val="single" w:sz="4" w:space="1" w:color="auto"/>
        </w:pBdr>
        <w:shd w:val="clear" w:color="auto" w:fill="3B6FAB"/>
        <w:tabs>
          <w:tab w:val="left" w:pos="2694"/>
          <w:tab w:val="left" w:pos="5387"/>
        </w:tabs>
        <w:spacing w:line="360" w:lineRule="auto"/>
        <w:ind w:right="-1"/>
        <w:jc w:val="both"/>
        <w:rPr>
          <w:rFonts w:ascii="Verdana" w:hAnsi="Verdana"/>
          <w:color w:val="FFFFFF" w:themeColor="background1"/>
        </w:rPr>
      </w:pP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(Corte di Cassazione, sentenze </w:t>
      </w:r>
      <w:proofErr w:type="spellStart"/>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nn</w:t>
      </w:r>
      <w:proofErr w:type="spellEnd"/>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25780</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del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22.12.2015, 2209</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del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04.02.2016, 2653</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 xml:space="preserve"> del </w:t>
      </w:r>
      <w:r w:rsidRPr="000D5568">
        <w:rPr>
          <w:rFonts w:ascii="Verdana" w:hAnsi="Verdana" w:cs="Verdana"/>
          <w:b/>
          <w:color w:val="FFFFFF" w:themeColor="background1"/>
          <w14:shadow w14:blurRad="50800" w14:dist="38100" w14:dir="2700000" w14:sx="100000" w14:sy="100000" w14:kx="0" w14:ky="0" w14:algn="tl">
            <w14:srgbClr w14:val="000000">
              <w14:alpha w14:val="60000"/>
            </w14:srgbClr>
          </w14:shadow>
        </w:rPr>
        <w:t>10.02.2016, 4212 del 03.03.2016 e 4430 del 07.03.2016</w:t>
      </w:r>
      <w:r w:rsidRPr="000D5568">
        <w:rPr>
          <w:rFonts w:ascii="Verdana" w:hAnsi="Verdana"/>
          <w:b/>
          <w:bCs/>
          <w:color w:val="FFFFFF" w:themeColor="background1"/>
          <w:szCs w:val="20"/>
          <w14:shadow w14:blurRad="50800" w14:dist="38100" w14:dir="2700000" w14:sx="100000" w14:sy="100000" w14:kx="0" w14:ky="0" w14:algn="tl">
            <w14:srgbClr w14:val="000000">
              <w14:alpha w14:val="60000"/>
            </w14:srgbClr>
          </w14:shadow>
        </w:rPr>
        <w:t>)</w:t>
      </w:r>
    </w:p>
    <w:p w14:paraId="43C20DD6" w14:textId="77777777" w:rsidR="000D5568" w:rsidRPr="00612373" w:rsidRDefault="000D5568" w:rsidP="000D5568">
      <w:pPr>
        <w:tabs>
          <w:tab w:val="left" w:pos="2694"/>
        </w:tabs>
        <w:spacing w:line="360" w:lineRule="auto"/>
        <w:jc w:val="both"/>
        <w:rPr>
          <w:rFonts w:ascii="Verdana" w:hAnsi="Verdana"/>
        </w:rPr>
      </w:pPr>
      <w:r w:rsidRPr="00612373">
        <w:rPr>
          <w:rFonts w:ascii="Verdana" w:hAnsi="Verdana"/>
          <w:noProof/>
        </w:rPr>
        <w:drawing>
          <wp:anchor distT="0" distB="0" distL="114300" distR="114300" simplePos="0" relativeHeight="251660288" behindDoc="0" locked="0" layoutInCell="1" allowOverlap="1" wp14:anchorId="0A934A05" wp14:editId="4F8B4CAD">
            <wp:simplePos x="0" y="0"/>
            <wp:positionH relativeFrom="column">
              <wp:posOffset>114300</wp:posOffset>
            </wp:positionH>
            <wp:positionV relativeFrom="paragraph">
              <wp:posOffset>62230</wp:posOffset>
            </wp:positionV>
            <wp:extent cx="603250" cy="603250"/>
            <wp:effectExtent l="0" t="0" r="0" b="0"/>
            <wp:wrapSquare wrapText="bothSides"/>
            <wp:docPr id="3" name="Immagine 100" descr="viewm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0" descr="viewma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373">
        <w:rPr>
          <w:rFonts w:ascii="Verdana" w:hAnsi="Verdana"/>
        </w:rPr>
        <w:t>A</w:t>
      </w:r>
      <w:r w:rsidRPr="00612373">
        <w:rPr>
          <w:rFonts w:ascii="Verdana" w:hAnsi="Verdana"/>
          <w:noProof/>
        </w:rPr>
        <w:drawing>
          <wp:anchor distT="0" distB="0" distL="114300" distR="114300" simplePos="0" relativeHeight="251659264" behindDoc="0" locked="0" layoutInCell="1" allowOverlap="1" wp14:anchorId="2E095ECB" wp14:editId="38865256">
            <wp:simplePos x="0" y="0"/>
            <wp:positionH relativeFrom="column">
              <wp:posOffset>114300</wp:posOffset>
            </wp:positionH>
            <wp:positionV relativeFrom="paragraph">
              <wp:posOffset>76200</wp:posOffset>
            </wp:positionV>
            <wp:extent cx="603250" cy="603250"/>
            <wp:effectExtent l="0" t="0" r="0" b="0"/>
            <wp:wrapSquare wrapText="bothSides"/>
            <wp:docPr id="2" name="Immagine 100" descr="viewm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0" descr="viewma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373">
        <w:rPr>
          <w:rFonts w:ascii="Verdana" w:hAnsi="Verdana"/>
        </w:rPr>
        <w:t xml:space="preserve">nalogamente a quanto fatto nelle precedenti comunicazioni, proseguiamo con la disamina degli interventi della Corte di Cassazione in tema di gestione del rapporto di lavoro.  </w:t>
      </w:r>
    </w:p>
    <w:p w14:paraId="069992D4" w14:textId="77777777" w:rsidR="000D5568" w:rsidRPr="00612373" w:rsidRDefault="000D5568" w:rsidP="000D5568">
      <w:pPr>
        <w:widowControl w:val="0"/>
        <w:autoSpaceDE w:val="0"/>
        <w:autoSpaceDN w:val="0"/>
        <w:adjustRightInd w:val="0"/>
        <w:spacing w:line="360" w:lineRule="auto"/>
        <w:jc w:val="both"/>
        <w:rPr>
          <w:rFonts w:ascii="Verdana" w:hAnsi="Verdana" w:cs="Verdana"/>
        </w:rPr>
      </w:pPr>
      <w:r w:rsidRPr="00612373">
        <w:rPr>
          <w:rFonts w:ascii="Verdana" w:hAnsi="Verdana"/>
        </w:rPr>
        <w:t>In particolare, vale la pena evidenziare le seguenti massime che si riportano pressoché integralmente:</w:t>
      </w:r>
    </w:p>
    <w:p w14:paraId="0FF3BEC7" w14:textId="5AEC12A9" w:rsidR="000D5568" w:rsidRPr="001C1AF5" w:rsidRDefault="000D5568" w:rsidP="001C1AF5">
      <w:pPr>
        <w:numPr>
          <w:ilvl w:val="0"/>
          <w:numId w:val="4"/>
        </w:numPr>
        <w:spacing w:line="360" w:lineRule="auto"/>
        <w:ind w:left="709" w:hanging="425"/>
        <w:jc w:val="both"/>
        <w:rPr>
          <w:rFonts w:ascii="Verdana" w:hAnsi="Verdana" w:cs="Verdana"/>
        </w:rPr>
      </w:pPr>
      <w:r w:rsidRPr="00612373">
        <w:rPr>
          <w:rFonts w:ascii="Verdana" w:hAnsi="Verdana" w:cs="Verdana"/>
        </w:rPr>
        <w:t xml:space="preserve">quando il lavoratore denuncia la illegittimità dell'esercizio dello </w:t>
      </w:r>
      <w:proofErr w:type="spellStart"/>
      <w:r w:rsidRPr="00612373">
        <w:rPr>
          <w:rFonts w:ascii="Verdana" w:hAnsi="Verdana" w:cs="Verdana"/>
        </w:rPr>
        <w:t>ius</w:t>
      </w:r>
      <w:proofErr w:type="spellEnd"/>
      <w:r w:rsidRPr="00612373">
        <w:rPr>
          <w:rFonts w:ascii="Verdana" w:hAnsi="Verdana" w:cs="Verdana"/>
        </w:rPr>
        <w:t xml:space="preserve"> </w:t>
      </w:r>
      <w:proofErr w:type="spellStart"/>
      <w:r w:rsidRPr="00612373">
        <w:rPr>
          <w:rFonts w:ascii="Verdana" w:hAnsi="Verdana" w:cs="Verdana"/>
        </w:rPr>
        <w:t>variandi</w:t>
      </w:r>
      <w:proofErr w:type="spellEnd"/>
      <w:r w:rsidRPr="00612373">
        <w:rPr>
          <w:rFonts w:ascii="Verdana" w:hAnsi="Verdana" w:cs="Verdana"/>
        </w:rPr>
        <w:t xml:space="preserve"> a causa di </w:t>
      </w:r>
      <w:proofErr w:type="spellStart"/>
      <w:r w:rsidRPr="00612373">
        <w:rPr>
          <w:rFonts w:ascii="Verdana" w:hAnsi="Verdana" w:cs="Verdana"/>
        </w:rPr>
        <w:t>demansionamento</w:t>
      </w:r>
      <w:proofErr w:type="spellEnd"/>
      <w:r w:rsidRPr="00612373">
        <w:rPr>
          <w:rFonts w:ascii="Verdana" w:hAnsi="Verdana" w:cs="Verdana"/>
        </w:rPr>
        <w:t xml:space="preserve"> o dequalificazione, ha l'onere di allegare gli elementi di fatto significativi circa l'inesatto adempimento dell'obbligo di adibizione a mansioni corrispondenti alla categoria e qualifica di appartenenza o a mansioni equivalenti alle ultime effettivamente svolte; al datore di lavoro incombe invece l'onere di provare l'esatto adempimento del suo obbligo, o attraverso la prova della mancanza in concreto di qualsiasi dequalificazione o </w:t>
      </w:r>
      <w:proofErr w:type="spellStart"/>
      <w:r w:rsidRPr="00612373">
        <w:rPr>
          <w:rFonts w:ascii="Verdana" w:hAnsi="Verdana" w:cs="Verdana"/>
        </w:rPr>
        <w:t>demansionamento</w:t>
      </w:r>
      <w:proofErr w:type="spellEnd"/>
      <w:r w:rsidRPr="00612373">
        <w:rPr>
          <w:rFonts w:ascii="Verdana" w:hAnsi="Verdana" w:cs="Verdana"/>
        </w:rPr>
        <w:t xml:space="preserve">, ovvero attraverso la prova che l'una o l'altro siano state giustificate dal legittimo esercizio dei poteri imprenditoriali o disciplinari ovvero, in base </w:t>
      </w:r>
      <w:r w:rsidRPr="00612373">
        <w:rPr>
          <w:rFonts w:ascii="Verdana" w:hAnsi="Verdana" w:cs="Verdana"/>
        </w:rPr>
        <w:lastRenderedPageBreak/>
        <w:t>al principio generale di cui all’ art. 1218 c.c., comunque da una impossibilità della prestazione derivante da causa a lui non imputabile</w:t>
      </w:r>
      <w:r>
        <w:rPr>
          <w:rFonts w:ascii="Verdana" w:hAnsi="Verdana" w:cs="Verdana Bold Italic"/>
        </w:rPr>
        <w:t>.</w:t>
      </w:r>
    </w:p>
    <w:p w14:paraId="07343CE5" w14:textId="0E73002A" w:rsidR="000D5568" w:rsidRPr="000D5568" w:rsidRDefault="000D5568" w:rsidP="000D5568">
      <w:pPr>
        <w:numPr>
          <w:ilvl w:val="0"/>
          <w:numId w:val="4"/>
        </w:numPr>
        <w:spacing w:line="360" w:lineRule="auto"/>
        <w:ind w:left="709" w:hanging="425"/>
        <w:jc w:val="both"/>
        <w:rPr>
          <w:rFonts w:ascii="Verdana" w:hAnsi="Verdana" w:cs="Verdana"/>
        </w:rPr>
      </w:pPr>
      <w:r>
        <w:rPr>
          <w:rFonts w:ascii="Verdana" w:hAnsi="Verdana" w:cs="Verdana"/>
        </w:rPr>
        <w:t>I</w:t>
      </w:r>
      <w:r w:rsidRPr="008F40BC">
        <w:rPr>
          <w:rFonts w:ascii="Verdana" w:hAnsi="Verdana" w:cs="Verdana"/>
        </w:rPr>
        <w:t>l datore di lavoro è responsabile dell'infortunio occorso al lavoratore, sia quando ometta di adottare le idonee misure protettive, sia quando non accerti e vigili che di queste misure venga fatto effettivamente uso da parte dei dipendenti. Di conseguenza, ai fini dell'accertamento della responsabilità datoriale per infortunio occorso al lavoratore sul luogo di lavoro, mentre incombe sul lavoratore che lamenti di aver subito, a causa dell'attività lavorativa svolta, un danno alla salute, l'onere di provare l'esistenza di tale danno, come pure la nocività</w:t>
      </w:r>
      <w:r>
        <w:rPr>
          <w:rFonts w:ascii="Verdana" w:hAnsi="Verdana" w:cs="Verdana"/>
        </w:rPr>
        <w:t xml:space="preserve"> dell'ambiente di lavoro, nonché</w:t>
      </w:r>
      <w:r w:rsidRPr="008F40BC">
        <w:rPr>
          <w:rFonts w:ascii="Verdana" w:hAnsi="Verdana" w:cs="Verdana"/>
        </w:rPr>
        <w:t xml:space="preserve"> il nesso tra l'uno e l'altro elemento, grava sul datore di lavoro - una volta che il lavoratore abbia provato le predette circostanze - l'onere di provare di aver fatto tutto il possibile per evitare il </w:t>
      </w:r>
      <w:r w:rsidRPr="00056E6E">
        <w:rPr>
          <w:rFonts w:ascii="Verdana" w:hAnsi="Verdana" w:cs="Verdana"/>
        </w:rPr>
        <w:t>danno, ovvero di aver adottato tutte le cautele necessarie per impedire il verificarsi del danno medesimo.</w:t>
      </w:r>
      <w:r w:rsidRPr="00056E6E">
        <w:rPr>
          <w:rFonts w:ascii="Verdana" w:hAnsi="Verdana" w:cs="Verdana Bold Italic"/>
        </w:rPr>
        <w:t xml:space="preserve"> </w:t>
      </w:r>
    </w:p>
    <w:p w14:paraId="7A10CE1E" w14:textId="77777777" w:rsidR="000D5568" w:rsidRPr="00056E6E" w:rsidRDefault="000D5568" w:rsidP="000D5568">
      <w:pPr>
        <w:numPr>
          <w:ilvl w:val="0"/>
          <w:numId w:val="4"/>
        </w:numPr>
        <w:spacing w:line="360" w:lineRule="auto"/>
        <w:ind w:left="709" w:hanging="425"/>
        <w:jc w:val="both"/>
        <w:rPr>
          <w:rFonts w:ascii="Verdana" w:hAnsi="Verdana" w:cs="Verdana"/>
        </w:rPr>
      </w:pPr>
      <w:r w:rsidRPr="00056E6E">
        <w:rPr>
          <w:rFonts w:ascii="Verdana" w:hAnsi="Verdana" w:cs="Verdana"/>
        </w:rPr>
        <w:t xml:space="preserve">In riferimento a prestazioni di carattere intellettuale, che non richiedono alcuna organizzazione imprenditoriale né postulano un'assunzione di rischio a carico del lavoratore, il criterio fondamentale per l'accertamento della natura (autonoma o subordinata) del rapporto di lavoro è costituito dall'esistenza di un potere direttivo del datore di lavoro che, pur nei limiti imposti dalla connotazione professionale della prestazione </w:t>
      </w:r>
      <w:r>
        <w:rPr>
          <w:rFonts w:ascii="Verdana" w:hAnsi="Verdana" w:cs="Verdana"/>
        </w:rPr>
        <w:t>lavorativa</w:t>
      </w:r>
      <w:r w:rsidRPr="00056E6E">
        <w:rPr>
          <w:rFonts w:ascii="Verdana" w:hAnsi="Verdana" w:cs="Verdana"/>
        </w:rPr>
        <w:t xml:space="preserve">, abbia un'ampiezza di estrinsecazione tale da consentirgli di disporre, in maniera piena, della stessa nell'ambito delle esigenze proprie della sua organizzazione produttiva. </w:t>
      </w:r>
    </w:p>
    <w:p w14:paraId="785191DA" w14:textId="2D94D402" w:rsidR="000D5568" w:rsidRPr="00CC225C" w:rsidRDefault="000D5568" w:rsidP="001C1AF5">
      <w:pPr>
        <w:spacing w:line="360" w:lineRule="auto"/>
        <w:ind w:left="709"/>
        <w:jc w:val="both"/>
        <w:rPr>
          <w:rFonts w:ascii="Verdana" w:hAnsi="Verdana" w:cs="Verdana"/>
        </w:rPr>
      </w:pPr>
      <w:r w:rsidRPr="00056E6E">
        <w:rPr>
          <w:rFonts w:ascii="Verdana" w:hAnsi="Verdana" w:cs="Verdana"/>
        </w:rPr>
        <w:t xml:space="preserve">La qualificazione del rapporto di lavoro, operata dalle parti, come contratto di collaborazione coordinata e continuativa non assume rilievo dirimente in presenza di elementi fattuali - quali la previsione di un compenso fisso, di un orario di lavoro stabile e continuativo, il carattere delle mansioni, nonché il collegamento tecnico organizzativo e produttivo </w:t>
      </w:r>
      <w:r w:rsidRPr="00056E6E">
        <w:rPr>
          <w:rFonts w:ascii="Verdana" w:hAnsi="Verdana" w:cs="Verdana"/>
        </w:rPr>
        <w:lastRenderedPageBreak/>
        <w:t xml:space="preserve">tra la prestazione svolta e le esigenze aziendali - </w:t>
      </w:r>
      <w:r w:rsidRPr="00CC225C">
        <w:rPr>
          <w:rFonts w:ascii="Verdana" w:hAnsi="Verdana" w:cs="Verdana"/>
        </w:rPr>
        <w:t>che costituiscono indici rivelatori della natura subordinata del rapporto stesso, anche se svolto per un arco temporale esiguo.</w:t>
      </w:r>
    </w:p>
    <w:p w14:paraId="6C55401E" w14:textId="77777777" w:rsidR="000D5568" w:rsidRPr="00387C01" w:rsidRDefault="000D5568" w:rsidP="000D5568">
      <w:pPr>
        <w:numPr>
          <w:ilvl w:val="0"/>
          <w:numId w:val="4"/>
        </w:numPr>
        <w:spacing w:line="360" w:lineRule="auto"/>
        <w:ind w:left="709" w:hanging="425"/>
        <w:jc w:val="both"/>
        <w:rPr>
          <w:rFonts w:ascii="Verdana" w:hAnsi="Verdana" w:cs="Verdana"/>
        </w:rPr>
      </w:pPr>
      <w:r>
        <w:rPr>
          <w:rFonts w:ascii="Verdana" w:hAnsi="Verdana" w:cs="Verdana"/>
        </w:rPr>
        <w:t>R</w:t>
      </w:r>
      <w:r w:rsidRPr="00CC225C">
        <w:rPr>
          <w:rFonts w:ascii="Verdana" w:hAnsi="Verdana" w:cs="Verdana"/>
        </w:rPr>
        <w:t xml:space="preserve">ientrano tra le somme che vanno escluse dalla retribuzione imponibile, in quanto corrisposte in occasione della cessazione del rapporto di lavoro, al fine di incentivare l'esodo dei lavoratori, non solo quelle conseguite con un apposito accordo per la erogazione dell'incentivazione anteriore alla risoluzione del rapporto, ma tutte le somme che risultino erogate in occasione della cessazione del rapporto di lavoro ai fini di incentivare l'esodo, potendo risultare ciò sia da una </w:t>
      </w:r>
      <w:r>
        <w:rPr>
          <w:rFonts w:ascii="Verdana" w:hAnsi="Verdana" w:cs="Verdana"/>
        </w:rPr>
        <w:t>indicazione in tal senso nell' at</w:t>
      </w:r>
      <w:r w:rsidRPr="00CC225C">
        <w:rPr>
          <w:rFonts w:ascii="Verdana" w:hAnsi="Verdana" w:cs="Verdana"/>
        </w:rPr>
        <w:t xml:space="preserve">to unilaterale di liquidazione delle spettanze finali, sia da elementi </w:t>
      </w:r>
      <w:r w:rsidRPr="00E209DE">
        <w:rPr>
          <w:rFonts w:ascii="Verdana" w:hAnsi="Verdana" w:cs="Verdana"/>
        </w:rPr>
        <w:t>presuntivi.</w:t>
      </w:r>
    </w:p>
    <w:p w14:paraId="1D89BCB5" w14:textId="77777777" w:rsidR="000D5568" w:rsidRDefault="000D5568" w:rsidP="000D5568">
      <w:pPr>
        <w:numPr>
          <w:ilvl w:val="0"/>
          <w:numId w:val="4"/>
        </w:numPr>
        <w:spacing w:line="360" w:lineRule="auto"/>
        <w:ind w:left="709" w:hanging="425"/>
        <w:jc w:val="both"/>
        <w:rPr>
          <w:rFonts w:ascii="Verdana" w:hAnsi="Verdana" w:cs="Verdana"/>
        </w:rPr>
      </w:pPr>
      <w:r>
        <w:rPr>
          <w:rFonts w:ascii="Verdana" w:hAnsi="Verdana" w:cs="Verdana Bold Italic"/>
        </w:rPr>
        <w:t>I</w:t>
      </w:r>
      <w:r w:rsidRPr="00E209DE">
        <w:rPr>
          <w:rFonts w:ascii="Verdana" w:hAnsi="Verdana" w:cs="Verdana"/>
        </w:rPr>
        <w:t>l danno non patrimoniale da lesione della salute costituisce una categoria ampia ed omnicomprensiva, nella cui liquidazione il giudice deve tenere conto di tutti i pregiudizi concretamente patiti dalla vittima, ma senza duplicare il risarcimento attraverso l'attribuzione di nomi diversi a pregiudizi identici.</w:t>
      </w:r>
    </w:p>
    <w:p w14:paraId="419618CF" w14:textId="77777777" w:rsidR="001C1AF5" w:rsidRPr="00E209DE" w:rsidRDefault="001C1AF5" w:rsidP="001C1AF5">
      <w:pPr>
        <w:spacing w:line="360" w:lineRule="auto"/>
        <w:ind w:left="709"/>
        <w:jc w:val="both"/>
        <w:rPr>
          <w:rFonts w:ascii="Verdana" w:hAnsi="Verdana" w:cs="Verdana"/>
        </w:rPr>
      </w:pPr>
    </w:p>
    <w:p w14:paraId="151D3813" w14:textId="77777777" w:rsidR="000D5568" w:rsidRPr="000D5568" w:rsidRDefault="000D5568" w:rsidP="000D5568">
      <w:pPr>
        <w:pBdr>
          <w:bottom w:val="single" w:sz="4" w:space="1" w:color="auto"/>
        </w:pBdr>
        <w:shd w:val="clear" w:color="auto" w:fill="3B6FAB"/>
        <w:spacing w:line="360" w:lineRule="auto"/>
        <w:ind w:right="-1"/>
        <w:jc w:val="both"/>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pPr>
      <w:r w:rsidRPr="000D5568">
        <w:rPr>
          <w:rFonts w:ascii="Verdana" w:hAnsi="Verdana" w:cs="Lucida Sans Unicode"/>
          <w:b/>
          <w:bCs/>
          <w:color w:val="FFFFFF" w:themeColor="background1"/>
          <w:sz w:val="32"/>
          <w:szCs w:val="20"/>
          <w14:shadow w14:blurRad="50800" w14:dist="38100" w14:dir="2700000" w14:sx="100000" w14:sy="100000" w14:kx="0" w14:ky="0" w14:algn="tl">
            <w14:srgbClr w14:val="000000">
              <w14:alpha w14:val="60000"/>
            </w14:srgbClr>
          </w14:shadow>
        </w:rPr>
        <w:t xml:space="preserve">COEFFICIENTE DI RIVALUTAZIONE DEL T.F.R. </w:t>
      </w:r>
    </w:p>
    <w:p w14:paraId="1CFCE92D" w14:textId="77777777" w:rsidR="000D5568" w:rsidRPr="00F4063C" w:rsidRDefault="000D5568" w:rsidP="000D5568">
      <w:pPr>
        <w:spacing w:line="360" w:lineRule="auto"/>
        <w:jc w:val="both"/>
        <w:rPr>
          <w:rFonts w:ascii="Verdana" w:hAnsi="Verdana"/>
        </w:rPr>
      </w:pPr>
      <w:r w:rsidRPr="00BE6FD7">
        <w:rPr>
          <w:rFonts w:ascii="Verdana" w:hAnsi="Verdana"/>
        </w:rPr>
        <w:t xml:space="preserve">L’ Istat ha reso noto i coefficienti di rivalutazione del trattamento di fine rapporto relativo al periodo dal </w:t>
      </w:r>
      <w:r>
        <w:rPr>
          <w:rFonts w:ascii="Verdana" w:hAnsi="Verdana"/>
        </w:rPr>
        <w:t>16 agosto 2016</w:t>
      </w:r>
      <w:r w:rsidRPr="00BE6FD7">
        <w:rPr>
          <w:rFonts w:ascii="Verdana" w:hAnsi="Verdana"/>
        </w:rPr>
        <w:t xml:space="preserve"> al 14 </w:t>
      </w:r>
      <w:r>
        <w:rPr>
          <w:rFonts w:ascii="Verdana" w:hAnsi="Verdana"/>
        </w:rPr>
        <w:t>settembre</w:t>
      </w:r>
      <w:r w:rsidRPr="00F4063C">
        <w:rPr>
          <w:rFonts w:ascii="Verdana" w:hAnsi="Verdana"/>
        </w:rPr>
        <w:t xml:space="preserve"> 2016. </w:t>
      </w:r>
    </w:p>
    <w:p w14:paraId="2D8A26A2" w14:textId="77777777" w:rsidR="000D5568" w:rsidRDefault="000D5568" w:rsidP="000D5568">
      <w:pPr>
        <w:spacing w:line="360" w:lineRule="auto"/>
        <w:jc w:val="both"/>
        <w:rPr>
          <w:rFonts w:ascii="Verdana" w:hAnsi="Verdana" w:cs="Arial"/>
        </w:rPr>
      </w:pPr>
      <w:r w:rsidRPr="00F4063C">
        <w:rPr>
          <w:rFonts w:ascii="Verdana" w:hAnsi="Verdana"/>
        </w:rPr>
        <w:t>I</w:t>
      </w:r>
      <w:r>
        <w:rPr>
          <w:rFonts w:ascii="Verdana" w:hAnsi="Verdana"/>
        </w:rPr>
        <w:t>l</w:t>
      </w:r>
      <w:r w:rsidRPr="00F4063C">
        <w:rPr>
          <w:rFonts w:ascii="Verdana" w:hAnsi="Verdana"/>
        </w:rPr>
        <w:t xml:space="preserve"> coefficient</w:t>
      </w:r>
      <w:r>
        <w:rPr>
          <w:rFonts w:ascii="Verdana" w:hAnsi="Verdana"/>
        </w:rPr>
        <w:t xml:space="preserve">e è pari a </w:t>
      </w:r>
      <w:r>
        <w:rPr>
          <w:rFonts w:ascii="Verdana" w:hAnsi="Verdana" w:cs="Tahoma"/>
          <w:szCs w:val="32"/>
        </w:rPr>
        <w:t>1</w:t>
      </w:r>
      <w:r w:rsidRPr="00F4063C">
        <w:rPr>
          <w:rFonts w:ascii="Verdana" w:hAnsi="Verdana" w:cs="Tahoma"/>
          <w:szCs w:val="32"/>
        </w:rPr>
        <w:t>,</w:t>
      </w:r>
      <w:r>
        <w:rPr>
          <w:rFonts w:ascii="Verdana" w:hAnsi="Verdana" w:cs="Tahoma"/>
          <w:szCs w:val="32"/>
        </w:rPr>
        <w:t>220234</w:t>
      </w:r>
      <w:r w:rsidRPr="00F4063C">
        <w:rPr>
          <w:rFonts w:ascii="Verdana" w:hAnsi="Verdana" w:cs="Arial"/>
        </w:rPr>
        <w:t>%.</w:t>
      </w:r>
    </w:p>
    <w:p w14:paraId="4B6C248F" w14:textId="77777777" w:rsidR="004D6B05" w:rsidRPr="008B7FB3" w:rsidRDefault="004D6B05" w:rsidP="000D5568">
      <w:pPr>
        <w:spacing w:line="360" w:lineRule="auto"/>
        <w:jc w:val="both"/>
        <w:rPr>
          <w:rFonts w:ascii="Verdana" w:hAnsi="Verdana" w:cs="Arial"/>
          <w:b/>
          <w:sz w:val="22"/>
          <w:szCs w:val="22"/>
        </w:rPr>
      </w:pPr>
    </w:p>
    <w:p w14:paraId="156C9591" w14:textId="77777777" w:rsidR="007467F1" w:rsidRPr="008B7FB3" w:rsidRDefault="007467F1" w:rsidP="000D5568">
      <w:pPr>
        <w:spacing w:line="360" w:lineRule="auto"/>
        <w:jc w:val="both"/>
        <w:rPr>
          <w:rFonts w:ascii="Verdana" w:hAnsi="Verdana" w:cs="Arial"/>
          <w:b/>
          <w:sz w:val="22"/>
        </w:rPr>
      </w:pPr>
      <w:r w:rsidRPr="008B7FB3">
        <w:rPr>
          <w:rFonts w:ascii="Verdana" w:hAnsi="Verdana" w:cs="Arial"/>
          <w:b/>
          <w:sz w:val="22"/>
        </w:rPr>
        <w:t>Restiamo a disposizione e cogliamo l’ occasione per porgere Cordiali Saluti</w:t>
      </w:r>
    </w:p>
    <w:p w14:paraId="1B1CB8B6" w14:textId="26C603A0" w:rsidR="003E6ECC" w:rsidRPr="001C1AF5" w:rsidRDefault="007467F1" w:rsidP="001C1AF5">
      <w:pPr>
        <w:spacing w:line="360" w:lineRule="auto"/>
        <w:jc w:val="both"/>
        <w:rPr>
          <w:rFonts w:ascii="Verdana" w:hAnsi="Verdana"/>
          <w:sz w:val="22"/>
        </w:rPr>
      </w:pPr>
      <w:r w:rsidRPr="008B7FB3">
        <w:rPr>
          <w:rFonts w:ascii="Verdana" w:hAnsi="Verdana"/>
          <w:b/>
        </w:rPr>
        <w:tab/>
      </w:r>
      <w:r w:rsidRPr="008B7FB3">
        <w:rPr>
          <w:rFonts w:ascii="Verdana" w:hAnsi="Verdana"/>
          <w:b/>
        </w:rPr>
        <w:tab/>
      </w:r>
      <w:r w:rsidRPr="008B7FB3">
        <w:rPr>
          <w:rFonts w:ascii="Verdana" w:hAnsi="Verdana"/>
          <w:b/>
        </w:rPr>
        <w:tab/>
      </w:r>
      <w:r w:rsidRPr="008B7FB3">
        <w:rPr>
          <w:rFonts w:ascii="Verdana" w:hAnsi="Verdana"/>
          <w:b/>
        </w:rPr>
        <w:tab/>
      </w:r>
      <w:r w:rsidRPr="008B7FB3">
        <w:rPr>
          <w:rFonts w:ascii="Verdana" w:hAnsi="Verdana"/>
          <w:b/>
        </w:rPr>
        <w:tab/>
      </w:r>
      <w:r w:rsidRPr="008B7FB3">
        <w:rPr>
          <w:rFonts w:ascii="Verdana" w:hAnsi="Verdana"/>
          <w:b/>
        </w:rPr>
        <w:tab/>
      </w:r>
    </w:p>
    <w:p w14:paraId="69288D28" w14:textId="721C8C6B" w:rsidR="007467F1" w:rsidRPr="008B7FB3" w:rsidRDefault="007467F1" w:rsidP="000D5568">
      <w:pPr>
        <w:pStyle w:val="Titolo3"/>
        <w:spacing w:before="0" w:line="360" w:lineRule="auto"/>
        <w:ind w:firstLine="0"/>
        <w:rPr>
          <w:rFonts w:ascii="Verdana" w:hAnsi="Verdana"/>
          <w:b w:val="0"/>
          <w:color w:val="auto"/>
        </w:rPr>
      </w:pPr>
      <w:r w:rsidRPr="008B7FB3">
        <w:rPr>
          <w:rFonts w:ascii="Verdana" w:hAnsi="Verdana"/>
          <w:b w:val="0"/>
          <w:color w:val="auto"/>
        </w:rPr>
        <w:t>Sassuolo, li 1</w:t>
      </w:r>
      <w:r w:rsidR="000D5568">
        <w:rPr>
          <w:rFonts w:ascii="Verdana" w:hAnsi="Verdana"/>
          <w:b w:val="0"/>
          <w:color w:val="auto"/>
        </w:rPr>
        <w:t>3</w:t>
      </w:r>
      <w:r w:rsidR="006C5610" w:rsidRPr="008B7FB3">
        <w:rPr>
          <w:rFonts w:ascii="Verdana" w:hAnsi="Verdana"/>
          <w:b w:val="0"/>
          <w:color w:val="auto"/>
        </w:rPr>
        <w:t>.</w:t>
      </w:r>
      <w:r w:rsidR="001509C6" w:rsidRPr="008B7FB3">
        <w:rPr>
          <w:rFonts w:ascii="Verdana" w:hAnsi="Verdana"/>
          <w:b w:val="0"/>
          <w:color w:val="auto"/>
        </w:rPr>
        <w:t>1</w:t>
      </w:r>
      <w:r w:rsidR="006C5610" w:rsidRPr="008B7FB3">
        <w:rPr>
          <w:rFonts w:ascii="Verdana" w:hAnsi="Verdana"/>
          <w:b w:val="0"/>
          <w:color w:val="auto"/>
        </w:rPr>
        <w:t>0</w:t>
      </w:r>
      <w:r w:rsidRPr="008B7FB3">
        <w:rPr>
          <w:rFonts w:ascii="Verdana" w:hAnsi="Verdana"/>
          <w:b w:val="0"/>
          <w:color w:val="auto"/>
        </w:rPr>
        <w:t>.2016</w:t>
      </w:r>
    </w:p>
    <w:p w14:paraId="34A7EF0A" w14:textId="77777777" w:rsidR="00630F33" w:rsidRPr="008B7FB3" w:rsidRDefault="00630F33" w:rsidP="000D5568">
      <w:pPr>
        <w:pStyle w:val="Corpodeltesto3"/>
        <w:spacing w:before="0" w:after="0" w:line="360" w:lineRule="auto"/>
        <w:ind w:firstLine="0"/>
        <w:rPr>
          <w:rFonts w:ascii="Verdana" w:hAnsi="Verdana"/>
          <w:sz w:val="22"/>
          <w:szCs w:val="22"/>
          <w:highlight w:val="yellow"/>
        </w:rPr>
      </w:pPr>
    </w:p>
    <w:p w14:paraId="36CEF813" w14:textId="423810A4" w:rsidR="00C40B1E" w:rsidRPr="008B7FB3" w:rsidRDefault="007467F1" w:rsidP="000D5568">
      <w:pPr>
        <w:pStyle w:val="Corpodeltesto3"/>
        <w:spacing w:before="0" w:after="0" w:line="360" w:lineRule="auto"/>
        <w:ind w:firstLine="0"/>
        <w:rPr>
          <w:rFonts w:ascii="Verdana" w:hAnsi="Verdana"/>
          <w:b/>
          <w:sz w:val="22"/>
          <w:szCs w:val="22"/>
        </w:rPr>
      </w:pPr>
      <w:r w:rsidRPr="008B7FB3">
        <w:rPr>
          <w:rFonts w:ascii="Verdana" w:hAnsi="Verdana"/>
          <w:sz w:val="22"/>
          <w:szCs w:val="22"/>
          <w:highlight w:val="yellow"/>
        </w:rPr>
        <w:t xml:space="preserve">All’ interno del sito internet </w:t>
      </w:r>
      <w:hyperlink r:id="rId9" w:history="1">
        <w:r w:rsidRPr="008B7FB3">
          <w:rPr>
            <w:rStyle w:val="Collegamentoipertestuale"/>
            <w:rFonts w:ascii="Verdana" w:hAnsi="Verdana"/>
            <w:sz w:val="22"/>
            <w:szCs w:val="22"/>
            <w:highlight w:val="yellow"/>
          </w:rPr>
          <w:t>www.st-erre.it</w:t>
        </w:r>
      </w:hyperlink>
      <w:r w:rsidRPr="008B7FB3">
        <w:rPr>
          <w:rFonts w:ascii="Verdana" w:hAnsi="Verdana"/>
          <w:sz w:val="22"/>
          <w:szCs w:val="22"/>
          <w:highlight w:val="yellow"/>
        </w:rPr>
        <w:t xml:space="preserve"> è disponibile l’ archivio delle ns. circolari.</w:t>
      </w:r>
      <w:r w:rsidRPr="008B7FB3">
        <w:rPr>
          <w:rFonts w:ascii="Verdana" w:hAnsi="Verdana"/>
          <w:sz w:val="22"/>
          <w:szCs w:val="22"/>
        </w:rPr>
        <w:t xml:space="preserve"> </w:t>
      </w:r>
    </w:p>
    <w:sectPr w:rsidR="00C40B1E" w:rsidRPr="008B7FB3" w:rsidSect="001509C6">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9A14" w14:textId="77777777" w:rsidR="0044274E" w:rsidRDefault="0044274E" w:rsidP="00F86ABC">
      <w:r>
        <w:separator/>
      </w:r>
    </w:p>
  </w:endnote>
  <w:endnote w:type="continuationSeparator" w:id="0">
    <w:p w14:paraId="72AD4AA1" w14:textId="77777777" w:rsidR="0044274E" w:rsidRDefault="0044274E" w:rsidP="00F8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Bold Ital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Pro-It">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2BDA" w14:textId="77777777" w:rsidR="0044274E" w:rsidRDefault="0044274E">
    <w:pPr>
      <w:pStyle w:val="Pidipagina"/>
    </w:pPr>
    <w:r>
      <w:rPr>
        <w:noProof/>
      </w:rPr>
      <w:drawing>
        <wp:inline distT="0" distB="0" distL="0" distR="0" wp14:anchorId="75AFA1D5" wp14:editId="6DE067C1">
          <wp:extent cx="6109970" cy="777875"/>
          <wp:effectExtent l="0" t="0" r="11430" b="9525"/>
          <wp:docPr id="8" name="Immagine 8" descr="Macintosh_HD:Users:francesca:Library:Containers:com.apple.mail:Data:Library:Mail Downloads:F72FDD7E-6050-4D4E-A653-6806757C40BF:STUDIO ERRE - CI_def_foot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Users:francesca:Library:Containers:com.apple.mail:Data:Library:Mail Downloads:F72FDD7E-6050-4D4E-A653-6806757C40BF:STUDIO ERRE - CI_def_foote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777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FB649" w14:textId="77777777" w:rsidR="0044274E" w:rsidRDefault="0044274E" w:rsidP="00F86ABC">
      <w:r>
        <w:separator/>
      </w:r>
    </w:p>
  </w:footnote>
  <w:footnote w:type="continuationSeparator" w:id="0">
    <w:p w14:paraId="509415E7" w14:textId="77777777" w:rsidR="0044274E" w:rsidRDefault="0044274E" w:rsidP="00F8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8730" w14:textId="77777777" w:rsidR="0044274E" w:rsidRDefault="0044274E">
    <w:pPr>
      <w:pStyle w:val="Intestazione"/>
    </w:pPr>
    <w:r>
      <w:rPr>
        <w:noProof/>
      </w:rPr>
      <w:drawing>
        <wp:inline distT="0" distB="0" distL="0" distR="0" wp14:anchorId="18DB42C9" wp14:editId="2E9DC587">
          <wp:extent cx="6109970" cy="1033780"/>
          <wp:effectExtent l="0" t="0" r="11430" b="7620"/>
          <wp:docPr id="7" name="Immagine 7" descr="Macintosh_HD:Users:francesca:Library:Containers:com.apple.mail:Data:Library:Mail Downloads:6BF00FC3-1665-4DB9-B0C7-03D20D7FB1A0:STUDIO ERRE - CI_def_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_HD:Users:francesca:Library:Containers:com.apple.mail:Data:Library:Mail Downloads:6BF00FC3-1665-4DB9-B0C7-03D20D7FB1A0:STUDIO ERRE - CI_def_heade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2439F"/>
    <w:multiLevelType w:val="hybridMultilevel"/>
    <w:tmpl w:val="F2A07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B23627"/>
    <w:multiLevelType w:val="hybridMultilevel"/>
    <w:tmpl w:val="0ADCE89A"/>
    <w:lvl w:ilvl="0" w:tplc="C90C4726">
      <w:start w:val="4"/>
      <w:numFmt w:val="bullet"/>
      <w:lvlText w:val="-"/>
      <w:lvlJc w:val="left"/>
      <w:pPr>
        <w:ind w:left="720" w:hanging="360"/>
      </w:pPr>
      <w:rPr>
        <w:rFonts w:ascii="Verdana" w:eastAsiaTheme="minorEastAsia" w:hAnsi="Verdana" w:cs="Verdana Bold Italic" w:hint="default"/>
        <w:b/>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E10EBF"/>
    <w:multiLevelType w:val="hybridMultilevel"/>
    <w:tmpl w:val="9EFE050A"/>
    <w:lvl w:ilvl="0" w:tplc="BEC6254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6360F2"/>
    <w:multiLevelType w:val="hybridMultilevel"/>
    <w:tmpl w:val="0F3E0C42"/>
    <w:lvl w:ilvl="0" w:tplc="E8C69712">
      <w:start w:val="4"/>
      <w:numFmt w:val="bullet"/>
      <w:lvlText w:val="-"/>
      <w:lvlJc w:val="left"/>
      <w:pPr>
        <w:ind w:left="720" w:hanging="360"/>
      </w:pPr>
      <w:rPr>
        <w:rFonts w:ascii="Verdana" w:eastAsiaTheme="minorEastAsia" w:hAnsi="Verdana" w:cs="SourceSansPro-I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351F5A"/>
    <w:multiLevelType w:val="singleLevel"/>
    <w:tmpl w:val="DBA2558E"/>
    <w:lvl w:ilvl="0">
      <w:start w:val="1"/>
      <w:numFmt w:val="lowerLetter"/>
      <w:lvlText w:val="%1)"/>
      <w:lvlJc w:val="left"/>
      <w:pPr>
        <w:tabs>
          <w:tab w:val="num" w:pos="600"/>
        </w:tabs>
        <w:ind w:left="600" w:hanging="360"/>
      </w:pPr>
      <w:rPr>
        <w:rFonts w:hint="default"/>
        <w:b w:val="0"/>
      </w:rPr>
    </w:lvl>
  </w:abstractNum>
  <w:abstractNum w:abstractNumId="6">
    <w:nsid w:val="284F22FB"/>
    <w:multiLevelType w:val="hybridMultilevel"/>
    <w:tmpl w:val="CE982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052ABC"/>
    <w:multiLevelType w:val="hybridMultilevel"/>
    <w:tmpl w:val="D7B85484"/>
    <w:lvl w:ilvl="0" w:tplc="C09225D6">
      <w:numFmt w:val="bullet"/>
      <w:lvlText w:val="-"/>
      <w:lvlJc w:val="left"/>
      <w:pPr>
        <w:ind w:left="720" w:hanging="360"/>
      </w:pPr>
      <w:rPr>
        <w:rFonts w:ascii="Verdana" w:eastAsia="Calibri" w:hAnsi="Verdan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D143FC"/>
    <w:multiLevelType w:val="hybridMultilevel"/>
    <w:tmpl w:val="D7D80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1A6EC3"/>
    <w:multiLevelType w:val="hybridMultilevel"/>
    <w:tmpl w:val="03CA95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516564"/>
    <w:multiLevelType w:val="hybridMultilevel"/>
    <w:tmpl w:val="8B082F3C"/>
    <w:lvl w:ilvl="0" w:tplc="388A6AEE">
      <w:start w:val="1"/>
      <w:numFmt w:val="lowerLetter"/>
      <w:lvlText w:val="%1)"/>
      <w:lvlJc w:val="left"/>
      <w:pPr>
        <w:ind w:left="1844" w:hanging="360"/>
      </w:pPr>
      <w:rPr>
        <w:rFonts w:hint="default"/>
      </w:rPr>
    </w:lvl>
    <w:lvl w:ilvl="1" w:tplc="04100019" w:tentative="1">
      <w:start w:val="1"/>
      <w:numFmt w:val="lowerLetter"/>
      <w:lvlText w:val="%2."/>
      <w:lvlJc w:val="left"/>
      <w:pPr>
        <w:ind w:left="2564" w:hanging="360"/>
      </w:pPr>
    </w:lvl>
    <w:lvl w:ilvl="2" w:tplc="0410001B" w:tentative="1">
      <w:start w:val="1"/>
      <w:numFmt w:val="lowerRoman"/>
      <w:lvlText w:val="%3."/>
      <w:lvlJc w:val="right"/>
      <w:pPr>
        <w:ind w:left="3284" w:hanging="180"/>
      </w:pPr>
    </w:lvl>
    <w:lvl w:ilvl="3" w:tplc="0410000F" w:tentative="1">
      <w:start w:val="1"/>
      <w:numFmt w:val="decimal"/>
      <w:lvlText w:val="%4."/>
      <w:lvlJc w:val="left"/>
      <w:pPr>
        <w:ind w:left="4004" w:hanging="360"/>
      </w:pPr>
    </w:lvl>
    <w:lvl w:ilvl="4" w:tplc="04100019" w:tentative="1">
      <w:start w:val="1"/>
      <w:numFmt w:val="lowerLetter"/>
      <w:lvlText w:val="%5."/>
      <w:lvlJc w:val="left"/>
      <w:pPr>
        <w:ind w:left="4724" w:hanging="360"/>
      </w:pPr>
    </w:lvl>
    <w:lvl w:ilvl="5" w:tplc="0410001B" w:tentative="1">
      <w:start w:val="1"/>
      <w:numFmt w:val="lowerRoman"/>
      <w:lvlText w:val="%6."/>
      <w:lvlJc w:val="right"/>
      <w:pPr>
        <w:ind w:left="5444" w:hanging="180"/>
      </w:pPr>
    </w:lvl>
    <w:lvl w:ilvl="6" w:tplc="0410000F" w:tentative="1">
      <w:start w:val="1"/>
      <w:numFmt w:val="decimal"/>
      <w:lvlText w:val="%7."/>
      <w:lvlJc w:val="left"/>
      <w:pPr>
        <w:ind w:left="6164" w:hanging="360"/>
      </w:pPr>
    </w:lvl>
    <w:lvl w:ilvl="7" w:tplc="04100019" w:tentative="1">
      <w:start w:val="1"/>
      <w:numFmt w:val="lowerLetter"/>
      <w:lvlText w:val="%8."/>
      <w:lvlJc w:val="left"/>
      <w:pPr>
        <w:ind w:left="6884" w:hanging="360"/>
      </w:pPr>
    </w:lvl>
    <w:lvl w:ilvl="8" w:tplc="0410001B" w:tentative="1">
      <w:start w:val="1"/>
      <w:numFmt w:val="lowerRoman"/>
      <w:lvlText w:val="%9."/>
      <w:lvlJc w:val="right"/>
      <w:pPr>
        <w:ind w:left="7604" w:hanging="180"/>
      </w:pPr>
    </w:lvl>
  </w:abstractNum>
  <w:abstractNum w:abstractNumId="11">
    <w:nsid w:val="56AD6169"/>
    <w:multiLevelType w:val="hybridMultilevel"/>
    <w:tmpl w:val="751630A4"/>
    <w:lvl w:ilvl="0" w:tplc="6AB407F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2B574BD"/>
    <w:multiLevelType w:val="hybridMultilevel"/>
    <w:tmpl w:val="5D98E724"/>
    <w:lvl w:ilvl="0" w:tplc="7806FCE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6325E6"/>
    <w:multiLevelType w:val="hybridMultilevel"/>
    <w:tmpl w:val="310AD5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8E0C0A"/>
    <w:multiLevelType w:val="hybridMultilevel"/>
    <w:tmpl w:val="461C37EE"/>
    <w:lvl w:ilvl="0" w:tplc="23FCF6E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941587"/>
    <w:multiLevelType w:val="hybridMultilevel"/>
    <w:tmpl w:val="7ED67270"/>
    <w:lvl w:ilvl="0" w:tplc="950ED054">
      <w:start w:val="1"/>
      <w:numFmt w:val="bullet"/>
      <w:lvlText w:val="-"/>
      <w:lvlJc w:val="left"/>
      <w:pPr>
        <w:ind w:left="1484" w:hanging="360"/>
      </w:pPr>
      <w:rPr>
        <w:rFonts w:ascii="Times New Roman" w:hAnsi="Times New Roman"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nsid w:val="6B5E4518"/>
    <w:multiLevelType w:val="hybridMultilevel"/>
    <w:tmpl w:val="C3ECCD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6C7005"/>
    <w:multiLevelType w:val="hybridMultilevel"/>
    <w:tmpl w:val="D5CEDEFE"/>
    <w:lvl w:ilvl="0" w:tplc="F5A211B0">
      <w:start w:val="3"/>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3312D9"/>
    <w:multiLevelType w:val="hybridMultilevel"/>
    <w:tmpl w:val="164A6B6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7"/>
  </w:num>
  <w:num w:numId="4">
    <w:abstractNumId w:val="18"/>
  </w:num>
  <w:num w:numId="5">
    <w:abstractNumId w:val="6"/>
  </w:num>
  <w:num w:numId="6">
    <w:abstractNumId w:val="8"/>
  </w:num>
  <w:num w:numId="7">
    <w:abstractNumId w:val="14"/>
  </w:num>
  <w:num w:numId="8">
    <w:abstractNumId w:val="5"/>
  </w:num>
  <w:num w:numId="9">
    <w:abstractNumId w:val="12"/>
  </w:num>
  <w:num w:numId="10">
    <w:abstractNumId w:val="17"/>
  </w:num>
  <w:num w:numId="11">
    <w:abstractNumId w:val="1"/>
  </w:num>
  <w:num w:numId="12">
    <w:abstractNumId w:val="15"/>
  </w:num>
  <w:num w:numId="13">
    <w:abstractNumId w:val="10"/>
  </w:num>
  <w:num w:numId="14">
    <w:abstractNumId w:val="11"/>
  </w:num>
  <w:num w:numId="15">
    <w:abstractNumId w:val="3"/>
  </w:num>
  <w:num w:numId="16">
    <w:abstractNumId w:val="4"/>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BC"/>
    <w:rsid w:val="00003FD8"/>
    <w:rsid w:val="000D5568"/>
    <w:rsid w:val="0014760B"/>
    <w:rsid w:val="001509C6"/>
    <w:rsid w:val="001C1AF5"/>
    <w:rsid w:val="001D1EA2"/>
    <w:rsid w:val="00242937"/>
    <w:rsid w:val="002C4764"/>
    <w:rsid w:val="002F4206"/>
    <w:rsid w:val="003A553A"/>
    <w:rsid w:val="003E6ECC"/>
    <w:rsid w:val="0044274E"/>
    <w:rsid w:val="004D6B05"/>
    <w:rsid w:val="004E3990"/>
    <w:rsid w:val="00523081"/>
    <w:rsid w:val="005924A4"/>
    <w:rsid w:val="005E5322"/>
    <w:rsid w:val="00630F33"/>
    <w:rsid w:val="00633CE6"/>
    <w:rsid w:val="006401B7"/>
    <w:rsid w:val="006B4244"/>
    <w:rsid w:val="006C4B5A"/>
    <w:rsid w:val="006C5610"/>
    <w:rsid w:val="00723D7D"/>
    <w:rsid w:val="00730C7E"/>
    <w:rsid w:val="00740516"/>
    <w:rsid w:val="007467F1"/>
    <w:rsid w:val="007F1A3D"/>
    <w:rsid w:val="008B3EDE"/>
    <w:rsid w:val="008B7FB3"/>
    <w:rsid w:val="008F5516"/>
    <w:rsid w:val="00900C66"/>
    <w:rsid w:val="00942DA6"/>
    <w:rsid w:val="00973309"/>
    <w:rsid w:val="009B448B"/>
    <w:rsid w:val="00A02DB8"/>
    <w:rsid w:val="00A56C17"/>
    <w:rsid w:val="00B13B97"/>
    <w:rsid w:val="00B471D4"/>
    <w:rsid w:val="00BE028E"/>
    <w:rsid w:val="00BE2E5E"/>
    <w:rsid w:val="00C1670F"/>
    <w:rsid w:val="00C40B1E"/>
    <w:rsid w:val="00C862A8"/>
    <w:rsid w:val="00D6215A"/>
    <w:rsid w:val="00E27966"/>
    <w:rsid w:val="00E43BA2"/>
    <w:rsid w:val="00E75E4E"/>
    <w:rsid w:val="00F05040"/>
    <w:rsid w:val="00F106C3"/>
    <w:rsid w:val="00F86ABC"/>
    <w:rsid w:val="00FA0AFF"/>
    <w:rsid w:val="00FF47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11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40B1E"/>
    <w:pPr>
      <w:keepNext/>
      <w:keepLines/>
      <w:spacing w:before="200" w:line="276" w:lineRule="auto"/>
      <w:ind w:firstLine="567"/>
      <w:jc w:val="both"/>
      <w:outlineLvl w:val="2"/>
    </w:pPr>
    <w:rPr>
      <w:rFonts w:ascii="Cambria" w:eastAsia="Calibri" w:hAnsi="Cambria" w:cs="Times New Roman"/>
      <w:b/>
      <w:bCs/>
      <w:color w:val="4F81BD"/>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AB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6ABC"/>
    <w:rPr>
      <w:rFonts w:ascii="Lucida Grande" w:hAnsi="Lucida Grande" w:cs="Lucida Grande"/>
      <w:sz w:val="18"/>
      <w:szCs w:val="18"/>
    </w:rPr>
  </w:style>
  <w:style w:type="paragraph" w:styleId="Intestazione">
    <w:name w:val="header"/>
    <w:basedOn w:val="Normale"/>
    <w:link w:val="IntestazioneCarattere"/>
    <w:unhideWhenUsed/>
    <w:rsid w:val="00F86ABC"/>
    <w:pPr>
      <w:tabs>
        <w:tab w:val="center" w:pos="4819"/>
        <w:tab w:val="right" w:pos="9638"/>
      </w:tabs>
    </w:pPr>
  </w:style>
  <w:style w:type="character" w:customStyle="1" w:styleId="IntestazioneCarattere">
    <w:name w:val="Intestazione Carattere"/>
    <w:basedOn w:val="Carpredefinitoparagrafo"/>
    <w:link w:val="Intestazione"/>
    <w:rsid w:val="00F86ABC"/>
  </w:style>
  <w:style w:type="paragraph" w:styleId="Pidipagina">
    <w:name w:val="footer"/>
    <w:basedOn w:val="Normale"/>
    <w:link w:val="PidipaginaCarattere"/>
    <w:uiPriority w:val="99"/>
    <w:unhideWhenUsed/>
    <w:rsid w:val="00F86ABC"/>
    <w:pPr>
      <w:tabs>
        <w:tab w:val="center" w:pos="4819"/>
        <w:tab w:val="right" w:pos="9638"/>
      </w:tabs>
    </w:pPr>
  </w:style>
  <w:style w:type="character" w:customStyle="1" w:styleId="PidipaginaCarattere">
    <w:name w:val="Piè di pagina Carattere"/>
    <w:basedOn w:val="Carpredefinitoparagrafo"/>
    <w:link w:val="Pidipagina"/>
    <w:uiPriority w:val="99"/>
    <w:rsid w:val="00F86ABC"/>
  </w:style>
  <w:style w:type="character" w:customStyle="1" w:styleId="Titolo3Carattere">
    <w:name w:val="Titolo 3 Carattere"/>
    <w:basedOn w:val="Carpredefinitoparagrafo"/>
    <w:link w:val="Titolo3"/>
    <w:rsid w:val="00C40B1E"/>
    <w:rPr>
      <w:rFonts w:ascii="Cambria" w:eastAsia="Calibri" w:hAnsi="Cambria" w:cs="Times New Roman"/>
      <w:b/>
      <w:bCs/>
      <w:color w:val="4F81BD"/>
      <w:sz w:val="22"/>
      <w:szCs w:val="22"/>
      <w:lang w:eastAsia="en-US"/>
    </w:rPr>
  </w:style>
  <w:style w:type="paragraph" w:styleId="Corpotesto">
    <w:name w:val="Body Text"/>
    <w:basedOn w:val="Normale"/>
    <w:link w:val="CorpotestoCarattere"/>
    <w:rsid w:val="00C40B1E"/>
    <w:pPr>
      <w:jc w:val="both"/>
    </w:pPr>
    <w:rPr>
      <w:rFonts w:ascii="Arial" w:eastAsia="Times New Roman" w:hAnsi="Arial" w:cs="Times New Roman"/>
      <w:color w:val="800080"/>
      <w:szCs w:val="20"/>
    </w:rPr>
  </w:style>
  <w:style w:type="character" w:customStyle="1" w:styleId="CorpotestoCarattere">
    <w:name w:val="Corpo testo Carattere"/>
    <w:basedOn w:val="Carpredefinitoparagrafo"/>
    <w:link w:val="Corpotesto"/>
    <w:rsid w:val="00C40B1E"/>
    <w:rPr>
      <w:rFonts w:ascii="Arial" w:eastAsia="Times New Roman" w:hAnsi="Arial" w:cs="Times New Roman"/>
      <w:color w:val="800080"/>
      <w:szCs w:val="20"/>
    </w:rPr>
  </w:style>
  <w:style w:type="character" w:styleId="Collegamentoipertestuale">
    <w:name w:val="Hyperlink"/>
    <w:basedOn w:val="Carpredefinitoparagrafo"/>
    <w:uiPriority w:val="99"/>
    <w:rsid w:val="00C40B1E"/>
    <w:rPr>
      <w:color w:val="0000FF"/>
      <w:u w:val="single"/>
    </w:rPr>
  </w:style>
  <w:style w:type="paragraph" w:styleId="Corpodeltesto3">
    <w:name w:val="Body Text 3"/>
    <w:basedOn w:val="Normale"/>
    <w:link w:val="Corpodeltesto3Carattere"/>
    <w:rsid w:val="00C40B1E"/>
    <w:pPr>
      <w:spacing w:before="120" w:after="120" w:line="276" w:lineRule="auto"/>
      <w:ind w:firstLine="567"/>
      <w:jc w:val="both"/>
    </w:pPr>
    <w:rPr>
      <w:rFonts w:ascii="Calibri" w:eastAsia="Calibri" w:hAnsi="Calibri" w:cs="Times New Roman"/>
      <w:sz w:val="16"/>
      <w:szCs w:val="16"/>
      <w:lang w:eastAsia="en-US"/>
    </w:rPr>
  </w:style>
  <w:style w:type="character" w:customStyle="1" w:styleId="Corpodeltesto3Carattere">
    <w:name w:val="Corpo del testo 3 Carattere"/>
    <w:basedOn w:val="Carpredefinitoparagrafo"/>
    <w:link w:val="Corpodeltesto3"/>
    <w:rsid w:val="00C40B1E"/>
    <w:rPr>
      <w:rFonts w:ascii="Calibri" w:eastAsia="Calibri" w:hAnsi="Calibri" w:cs="Times New Roman"/>
      <w:sz w:val="16"/>
      <w:szCs w:val="16"/>
      <w:lang w:eastAsia="en-US"/>
    </w:rPr>
  </w:style>
  <w:style w:type="paragraph" w:customStyle="1" w:styleId="Elencoacolori-Colore11">
    <w:name w:val="Elenco a colori - Colore 11"/>
    <w:basedOn w:val="Normale"/>
    <w:uiPriority w:val="34"/>
    <w:qFormat/>
    <w:rsid w:val="00630F33"/>
    <w:pPr>
      <w:spacing w:before="120" w:after="200" w:line="276" w:lineRule="auto"/>
      <w:ind w:left="720" w:firstLine="567"/>
      <w:contextualSpacing/>
      <w:jc w:val="both"/>
    </w:pPr>
    <w:rPr>
      <w:rFonts w:ascii="Calibri" w:eastAsia="Calibri" w:hAnsi="Calibri" w:cs="Times New Roman"/>
      <w:sz w:val="22"/>
      <w:szCs w:val="22"/>
      <w:lang w:eastAsia="en-US"/>
    </w:rPr>
  </w:style>
  <w:style w:type="paragraph" w:styleId="NormaleWeb">
    <w:name w:val="Normal (Web)"/>
    <w:basedOn w:val="Normale"/>
    <w:uiPriority w:val="99"/>
    <w:rsid w:val="00630F33"/>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630F33"/>
    <w:pPr>
      <w:spacing w:before="120" w:after="200" w:line="276" w:lineRule="auto"/>
      <w:ind w:left="720" w:firstLine="567"/>
      <w:contextualSpacing/>
      <w:jc w:val="both"/>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40B1E"/>
    <w:pPr>
      <w:keepNext/>
      <w:keepLines/>
      <w:spacing w:before="200" w:line="276" w:lineRule="auto"/>
      <w:ind w:firstLine="567"/>
      <w:jc w:val="both"/>
      <w:outlineLvl w:val="2"/>
    </w:pPr>
    <w:rPr>
      <w:rFonts w:ascii="Cambria" w:eastAsia="Calibri" w:hAnsi="Cambria" w:cs="Times New Roman"/>
      <w:b/>
      <w:bCs/>
      <w:color w:val="4F81BD"/>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AB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6ABC"/>
    <w:rPr>
      <w:rFonts w:ascii="Lucida Grande" w:hAnsi="Lucida Grande" w:cs="Lucida Grande"/>
      <w:sz w:val="18"/>
      <w:szCs w:val="18"/>
    </w:rPr>
  </w:style>
  <w:style w:type="paragraph" w:styleId="Intestazione">
    <w:name w:val="header"/>
    <w:basedOn w:val="Normale"/>
    <w:link w:val="IntestazioneCarattere"/>
    <w:unhideWhenUsed/>
    <w:rsid w:val="00F86ABC"/>
    <w:pPr>
      <w:tabs>
        <w:tab w:val="center" w:pos="4819"/>
        <w:tab w:val="right" w:pos="9638"/>
      </w:tabs>
    </w:pPr>
  </w:style>
  <w:style w:type="character" w:customStyle="1" w:styleId="IntestazioneCarattere">
    <w:name w:val="Intestazione Carattere"/>
    <w:basedOn w:val="Carpredefinitoparagrafo"/>
    <w:link w:val="Intestazione"/>
    <w:rsid w:val="00F86ABC"/>
  </w:style>
  <w:style w:type="paragraph" w:styleId="Pidipagina">
    <w:name w:val="footer"/>
    <w:basedOn w:val="Normale"/>
    <w:link w:val="PidipaginaCarattere"/>
    <w:uiPriority w:val="99"/>
    <w:unhideWhenUsed/>
    <w:rsid w:val="00F86ABC"/>
    <w:pPr>
      <w:tabs>
        <w:tab w:val="center" w:pos="4819"/>
        <w:tab w:val="right" w:pos="9638"/>
      </w:tabs>
    </w:pPr>
  </w:style>
  <w:style w:type="character" w:customStyle="1" w:styleId="PidipaginaCarattere">
    <w:name w:val="Piè di pagina Carattere"/>
    <w:basedOn w:val="Carpredefinitoparagrafo"/>
    <w:link w:val="Pidipagina"/>
    <w:uiPriority w:val="99"/>
    <w:rsid w:val="00F86ABC"/>
  </w:style>
  <w:style w:type="character" w:customStyle="1" w:styleId="Titolo3Carattere">
    <w:name w:val="Titolo 3 Carattere"/>
    <w:basedOn w:val="Carpredefinitoparagrafo"/>
    <w:link w:val="Titolo3"/>
    <w:rsid w:val="00C40B1E"/>
    <w:rPr>
      <w:rFonts w:ascii="Cambria" w:eastAsia="Calibri" w:hAnsi="Cambria" w:cs="Times New Roman"/>
      <w:b/>
      <w:bCs/>
      <w:color w:val="4F81BD"/>
      <w:sz w:val="22"/>
      <w:szCs w:val="22"/>
      <w:lang w:eastAsia="en-US"/>
    </w:rPr>
  </w:style>
  <w:style w:type="paragraph" w:styleId="Corpotesto">
    <w:name w:val="Body Text"/>
    <w:basedOn w:val="Normale"/>
    <w:link w:val="CorpotestoCarattere"/>
    <w:rsid w:val="00C40B1E"/>
    <w:pPr>
      <w:jc w:val="both"/>
    </w:pPr>
    <w:rPr>
      <w:rFonts w:ascii="Arial" w:eastAsia="Times New Roman" w:hAnsi="Arial" w:cs="Times New Roman"/>
      <w:color w:val="800080"/>
      <w:szCs w:val="20"/>
    </w:rPr>
  </w:style>
  <w:style w:type="character" w:customStyle="1" w:styleId="CorpotestoCarattere">
    <w:name w:val="Corpo testo Carattere"/>
    <w:basedOn w:val="Carpredefinitoparagrafo"/>
    <w:link w:val="Corpotesto"/>
    <w:rsid w:val="00C40B1E"/>
    <w:rPr>
      <w:rFonts w:ascii="Arial" w:eastAsia="Times New Roman" w:hAnsi="Arial" w:cs="Times New Roman"/>
      <w:color w:val="800080"/>
      <w:szCs w:val="20"/>
    </w:rPr>
  </w:style>
  <w:style w:type="character" w:styleId="Collegamentoipertestuale">
    <w:name w:val="Hyperlink"/>
    <w:basedOn w:val="Carpredefinitoparagrafo"/>
    <w:uiPriority w:val="99"/>
    <w:rsid w:val="00C40B1E"/>
    <w:rPr>
      <w:color w:val="0000FF"/>
      <w:u w:val="single"/>
    </w:rPr>
  </w:style>
  <w:style w:type="paragraph" w:styleId="Corpodeltesto3">
    <w:name w:val="Body Text 3"/>
    <w:basedOn w:val="Normale"/>
    <w:link w:val="Corpodeltesto3Carattere"/>
    <w:rsid w:val="00C40B1E"/>
    <w:pPr>
      <w:spacing w:before="120" w:after="120" w:line="276" w:lineRule="auto"/>
      <w:ind w:firstLine="567"/>
      <w:jc w:val="both"/>
    </w:pPr>
    <w:rPr>
      <w:rFonts w:ascii="Calibri" w:eastAsia="Calibri" w:hAnsi="Calibri" w:cs="Times New Roman"/>
      <w:sz w:val="16"/>
      <w:szCs w:val="16"/>
      <w:lang w:eastAsia="en-US"/>
    </w:rPr>
  </w:style>
  <w:style w:type="character" w:customStyle="1" w:styleId="Corpodeltesto3Carattere">
    <w:name w:val="Corpo del testo 3 Carattere"/>
    <w:basedOn w:val="Carpredefinitoparagrafo"/>
    <w:link w:val="Corpodeltesto3"/>
    <w:rsid w:val="00C40B1E"/>
    <w:rPr>
      <w:rFonts w:ascii="Calibri" w:eastAsia="Calibri" w:hAnsi="Calibri" w:cs="Times New Roman"/>
      <w:sz w:val="16"/>
      <w:szCs w:val="16"/>
      <w:lang w:eastAsia="en-US"/>
    </w:rPr>
  </w:style>
  <w:style w:type="paragraph" w:customStyle="1" w:styleId="Elencoacolori-Colore11">
    <w:name w:val="Elenco a colori - Colore 11"/>
    <w:basedOn w:val="Normale"/>
    <w:uiPriority w:val="34"/>
    <w:qFormat/>
    <w:rsid w:val="00630F33"/>
    <w:pPr>
      <w:spacing w:before="120" w:after="200" w:line="276" w:lineRule="auto"/>
      <w:ind w:left="720" w:firstLine="567"/>
      <w:contextualSpacing/>
      <w:jc w:val="both"/>
    </w:pPr>
    <w:rPr>
      <w:rFonts w:ascii="Calibri" w:eastAsia="Calibri" w:hAnsi="Calibri" w:cs="Times New Roman"/>
      <w:sz w:val="22"/>
      <w:szCs w:val="22"/>
      <w:lang w:eastAsia="en-US"/>
    </w:rPr>
  </w:style>
  <w:style w:type="paragraph" w:styleId="NormaleWeb">
    <w:name w:val="Normal (Web)"/>
    <w:basedOn w:val="Normale"/>
    <w:uiPriority w:val="99"/>
    <w:rsid w:val="00630F33"/>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630F33"/>
    <w:pPr>
      <w:spacing w:before="120" w:after="200" w:line="276" w:lineRule="auto"/>
      <w:ind w:left="720" w:firstLine="567"/>
      <w:contextualSpacing/>
      <w:jc w:val="both"/>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r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8809</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Monica Melioli Studio Erre</cp:lastModifiedBy>
  <cp:revision>2</cp:revision>
  <cp:lastPrinted>2016-10-13T16:14:00Z</cp:lastPrinted>
  <dcterms:created xsi:type="dcterms:W3CDTF">2016-10-13T16:15:00Z</dcterms:created>
  <dcterms:modified xsi:type="dcterms:W3CDTF">2016-10-13T16:15:00Z</dcterms:modified>
</cp:coreProperties>
</file>